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B4F" w:rsidRPr="003E6B4F" w:rsidRDefault="003E6B4F" w:rsidP="003E6B4F">
      <w:pPr>
        <w:spacing w:after="0" w:line="252" w:lineRule="auto"/>
        <w:rPr>
          <w:rFonts w:ascii="Times New Roman" w:eastAsia="Times New Roman" w:hAnsi="Times New Roman" w:cs="Times New Roman"/>
          <w:sz w:val="26"/>
          <w:szCs w:val="26"/>
        </w:rPr>
      </w:pPr>
      <w:bookmarkStart w:id="0" w:name="_GoBack"/>
      <w:bookmarkEnd w:id="0"/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bookmarkStart w:id="1" w:name="_Toc22099749"/>
      <w:r w:rsidR="007B2AA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</w:t>
      </w:r>
      <w:r w:rsidRPr="003E6B4F">
        <w:rPr>
          <w:rFonts w:ascii="Times New Roman" w:eastAsia="Times New Roman" w:hAnsi="Times New Roman" w:cs="Times New Roman"/>
          <w:sz w:val="26"/>
          <w:szCs w:val="26"/>
        </w:rPr>
        <w:t>Приложение 7</w:t>
      </w:r>
    </w:p>
    <w:p w:rsidR="003E6B4F" w:rsidRPr="003E6B4F" w:rsidRDefault="003E6B4F" w:rsidP="003E6B4F">
      <w:pPr>
        <w:spacing w:after="0" w:line="25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 w:rsidR="007B2AA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</w:t>
      </w:r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к схеме обращения с коммунальными                                                      </w:t>
      </w:r>
    </w:p>
    <w:p w:rsidR="003E6B4F" w:rsidRPr="003E6B4F" w:rsidRDefault="003E6B4F" w:rsidP="003E6B4F">
      <w:pPr>
        <w:spacing w:after="0" w:line="25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</w:t>
      </w:r>
      <w:r w:rsidR="007B2AA3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</w:t>
      </w:r>
      <w:r w:rsidR="007B2AA3" w:rsidRPr="007B2AA3">
        <w:rPr>
          <w:rFonts w:ascii="Times New Roman" w:eastAsia="Times New Roman" w:hAnsi="Times New Roman" w:cs="Times New Roman"/>
          <w:sz w:val="26"/>
          <w:szCs w:val="26"/>
        </w:rPr>
        <w:t xml:space="preserve">   </w:t>
      </w:r>
      <w:r w:rsidRPr="003E6B4F">
        <w:rPr>
          <w:rFonts w:ascii="Times New Roman" w:eastAsia="Times New Roman" w:hAnsi="Times New Roman" w:cs="Times New Roman"/>
          <w:sz w:val="26"/>
          <w:szCs w:val="26"/>
        </w:rPr>
        <w:t>отх</w:t>
      </w:r>
      <w:r w:rsidR="007B2AA3">
        <w:rPr>
          <w:rFonts w:ascii="Times New Roman" w:eastAsia="Times New Roman" w:hAnsi="Times New Roman" w:cs="Times New Roman"/>
          <w:sz w:val="26"/>
          <w:szCs w:val="26"/>
        </w:rPr>
        <w:t xml:space="preserve">одами, образующимися на </w:t>
      </w:r>
      <w:r w:rsidRPr="003E6B4F">
        <w:rPr>
          <w:rFonts w:ascii="Times New Roman" w:eastAsia="Times New Roman" w:hAnsi="Times New Roman" w:cs="Times New Roman"/>
          <w:sz w:val="26"/>
          <w:szCs w:val="26"/>
        </w:rPr>
        <w:t>территории</w:t>
      </w:r>
    </w:p>
    <w:p w:rsidR="003E6B4F" w:rsidRPr="003E6B4F" w:rsidRDefault="003E6B4F" w:rsidP="003E6B4F">
      <w:pPr>
        <w:spacing w:after="0" w:line="252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                                                       </w:t>
      </w:r>
      <w:r w:rsidR="007B2AA3">
        <w:rPr>
          <w:rFonts w:ascii="Times New Roman" w:eastAsia="Times New Roman" w:hAnsi="Times New Roman" w:cs="Times New Roman"/>
          <w:sz w:val="26"/>
          <w:szCs w:val="26"/>
        </w:rPr>
        <w:t xml:space="preserve">                 г. Вилейки и </w:t>
      </w:r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3E6B4F">
        <w:rPr>
          <w:rFonts w:ascii="Times New Roman" w:eastAsia="Times New Roman" w:hAnsi="Times New Roman" w:cs="Times New Roman"/>
          <w:sz w:val="26"/>
          <w:szCs w:val="26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26"/>
          <w:szCs w:val="26"/>
        </w:rPr>
        <w:t xml:space="preserve"> района</w:t>
      </w: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7B2AA3" w:rsidRDefault="003E6B4F" w:rsidP="007B2AA3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E6B4F">
        <w:rPr>
          <w:rFonts w:ascii="Times New Roman" w:eastAsia="Times New Roman" w:hAnsi="Times New Roman" w:cs="Times New Roman"/>
          <w:b/>
          <w:sz w:val="36"/>
          <w:szCs w:val="36"/>
        </w:rPr>
        <w:t xml:space="preserve">Экономическое обоснование выбранного варианта реализации региональной схемы обращения с твердыми коммунальными отходами на территории </w:t>
      </w:r>
      <w:r w:rsidR="007B2AA3">
        <w:rPr>
          <w:rFonts w:ascii="Times New Roman" w:eastAsia="Times New Roman" w:hAnsi="Times New Roman" w:cs="Times New Roman"/>
          <w:b/>
          <w:sz w:val="36"/>
          <w:szCs w:val="36"/>
        </w:rPr>
        <w:t xml:space="preserve">г. Вилейки </w:t>
      </w:r>
    </w:p>
    <w:p w:rsidR="007B2AA3" w:rsidRPr="003E6B4F" w:rsidRDefault="007B2AA3" w:rsidP="007B2AA3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>
        <w:rPr>
          <w:rFonts w:ascii="Times New Roman" w:eastAsia="Times New Roman" w:hAnsi="Times New Roman" w:cs="Times New Roman"/>
          <w:b/>
          <w:sz w:val="36"/>
          <w:szCs w:val="36"/>
        </w:rPr>
        <w:t xml:space="preserve">и </w:t>
      </w:r>
      <w:proofErr w:type="spellStart"/>
      <w:r w:rsidR="003E6B4F" w:rsidRPr="003E6B4F">
        <w:rPr>
          <w:rFonts w:ascii="Times New Roman" w:eastAsia="Times New Roman" w:hAnsi="Times New Roman" w:cs="Times New Roman"/>
          <w:b/>
          <w:sz w:val="36"/>
          <w:szCs w:val="36"/>
        </w:rPr>
        <w:t>Вилейского</w:t>
      </w:r>
      <w:proofErr w:type="spellEnd"/>
      <w:r w:rsidRPr="007B2AA3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3E6B4F">
        <w:rPr>
          <w:rFonts w:ascii="Times New Roman" w:eastAsia="Times New Roman" w:hAnsi="Times New Roman" w:cs="Times New Roman"/>
          <w:b/>
          <w:sz w:val="36"/>
          <w:szCs w:val="36"/>
        </w:rPr>
        <w:t>района</w:t>
      </w:r>
    </w:p>
    <w:p w:rsidR="003E6B4F" w:rsidRPr="003E6B4F" w:rsidRDefault="003E6B4F" w:rsidP="003E6B4F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</w:rPr>
      </w:pPr>
      <w:r w:rsidRPr="003E6B4F">
        <w:rPr>
          <w:rFonts w:ascii="Times New Roman" w:eastAsia="Times New Roman" w:hAnsi="Times New Roman" w:cs="Times New Roman"/>
          <w:b/>
          <w:sz w:val="36"/>
          <w:szCs w:val="36"/>
        </w:rPr>
        <w:br/>
      </w: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0" w:line="256" w:lineRule="auto"/>
        <w:rPr>
          <w:rFonts w:ascii="Times New Roman" w:eastAsia="Times New Roman" w:hAnsi="Times New Roman" w:cs="Times New Roman"/>
          <w:b/>
          <w:sz w:val="30"/>
          <w:szCs w:val="30"/>
        </w:rPr>
      </w:pPr>
    </w:p>
    <w:p w:rsidR="003E6B4F" w:rsidRPr="003E6B4F" w:rsidRDefault="003E6B4F" w:rsidP="003E6B4F">
      <w:pPr>
        <w:spacing w:after="160" w:line="252" w:lineRule="auto"/>
        <w:rPr>
          <w:rFonts w:ascii="Times New Roman" w:eastAsia="Times New Roman" w:hAnsi="Times New Roman" w:cs="Times New Roman"/>
          <w:b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br w:type="page"/>
      </w:r>
    </w:p>
    <w:p w:rsidR="003E6B4F" w:rsidRPr="003E6B4F" w:rsidRDefault="003E6B4F" w:rsidP="003E6B4F">
      <w:pPr>
        <w:keepNext/>
        <w:keepLines/>
        <w:spacing w:after="0" w:line="240" w:lineRule="auto"/>
        <w:rPr>
          <w:rFonts w:ascii="Times New Roman" w:eastAsia="Calibri" w:hAnsi="Times New Roman" w:cs="Times New Roman"/>
          <w:b/>
          <w:bCs/>
          <w:sz w:val="30"/>
          <w:szCs w:val="30"/>
          <w:lang w:val="be-BY" w:eastAsia="be-BY"/>
        </w:rPr>
      </w:pPr>
      <w:r w:rsidRPr="003E6B4F">
        <w:rPr>
          <w:rFonts w:ascii="Times New Roman" w:eastAsia="Calibri" w:hAnsi="Times New Roman" w:cs="Times New Roman"/>
          <w:b/>
          <w:bCs/>
          <w:sz w:val="30"/>
          <w:szCs w:val="30"/>
          <w:lang w:eastAsia="be-BY"/>
        </w:rPr>
        <w:lastRenderedPageBreak/>
        <w:t>Оглавление</w:t>
      </w:r>
    </w:p>
    <w:p w:rsidR="003E6B4F" w:rsidRPr="007B2AA3" w:rsidRDefault="003E6B4F" w:rsidP="003E6B4F">
      <w:pPr>
        <w:tabs>
          <w:tab w:val="right" w:leader="dot" w:pos="9772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7B2AA3">
        <w:rPr>
          <w:rFonts w:ascii="Calibri" w:eastAsia="Times New Roman" w:hAnsi="Calibri" w:cs="Times New Roman"/>
        </w:rPr>
        <w:fldChar w:fldCharType="begin"/>
      </w:r>
      <w:r w:rsidRPr="007B2AA3">
        <w:rPr>
          <w:rFonts w:ascii="Times New Roman" w:eastAsia="Times New Roman" w:hAnsi="Times New Roman" w:cs="Times New Roman"/>
          <w:sz w:val="28"/>
          <w:szCs w:val="28"/>
        </w:rPr>
        <w:instrText xml:space="preserve"> TOC \o "1-3" \h \z \u </w:instrText>
      </w:r>
      <w:r w:rsidRPr="007B2AA3">
        <w:rPr>
          <w:rFonts w:ascii="Calibri" w:eastAsia="Times New Roman" w:hAnsi="Calibri" w:cs="Times New Roman"/>
        </w:rPr>
        <w:fldChar w:fldCharType="separate"/>
      </w:r>
      <w:hyperlink r:id="rId5" w:anchor="_Toc59562311#_Toc59562311" w:history="1">
        <w:r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Вариант 1 «Оцинкованные контейнера, перегрузочная станция»</w:t>
        </w:r>
        <w:r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_Toc59562311 \h </w:instrText>
        </w:r>
        <w:r w:rsidRPr="007B2AA3">
          <w:rPr>
            <w:rFonts w:ascii="Times New Roman" w:eastAsia="Times New Roman" w:hAnsi="Times New Roman" w:cs="Times New Roman"/>
            <w:u w:val="single"/>
          </w:rPr>
        </w:r>
        <w:r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 w:rsidR="00320F28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</w:t>
        </w:r>
        <w:r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6" w:anchor="_Toc59562312#_Toc59562312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1,1 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 xml:space="preserve"> для сбора ТКО и ВМР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_Toc59562312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7" w:anchor="_Toc59562313#_Toc59562313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объемом 0,12 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_Toc59562313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7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8" w:anchor="_Toc59562314#_Toc59562314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Замена существующего спецавтортанспорта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_Toc59562314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9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9" w:anchor="_Toc59562315#_Toc59562315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Перегрузочная станция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_Toc59562315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11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0" w:anchor="_Toc59562316#_Toc59562316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Вариант 2 «Оцинкованные контейнера, вывоз на полигон»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_Toc59562316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13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1" w:anchor="_Toc59562317#_Toc59562317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1,1 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 xml:space="preserve"> для сбора ТКО и ВМР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_Toc59562317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13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2" w:anchor="_Toc59562318#_Toc59562318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объемом 0,12 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_Toc59562318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17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3" w:anchor="_Toc59562319#_Toc59562319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Замена существующего спецавтортанспорта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_Toc59562319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19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4" w:anchor="_Toc59562320#_Toc59562320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Вариант 3 «Пластиковые контейнера, перегрузочная станция»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_Toc59562320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22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5" w:anchor="_Toc59562321#_Toc59562321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1,1 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 xml:space="preserve"> для сбора ТКО и ВМР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_Toc59562321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22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6" w:anchor="_Toc59562322#_Toc59562322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объемом 0,12 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_Toc59562322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26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7" w:anchor="_Toc59562323#_Toc59562323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Замена существующего спецавтортанспорта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_Toc59562323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27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8" w:anchor="_Toc59562324#_Toc59562324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Перегрузочная станция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_Toc59562324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30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19" w:anchor="_Toc59562325#_Toc59562325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Вариант 4 «Пластиковые контейнера, вывоз на полигон»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_Toc59562325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31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0" w:anchor="_Toc59562326#_Toc59562326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1,1 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 xml:space="preserve"> для сбора ТКО и ВМР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_Toc59562326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31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1" w:anchor="_Toc59562327#_Toc59562327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Контейнеры объемом 0,12 м</w:t>
        </w:r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  <w:vertAlign w:val="superscript"/>
          </w:rPr>
          <w:t>3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_Toc59562327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35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22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2" w:anchor="_Toc59562328#_Toc59562328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Замена существующего спецавтортанспорта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_Toc59562328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36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3" w:anchor="_Toc59562329#_Toc59562329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Расчёт эффективности проекта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_Toc59562329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40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4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4" w:anchor="_Toc59562330#_Toc59562330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Эксплуатационные затраты на реализацию проекта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_Toc59562330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40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ind w:left="44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5" w:anchor="_Toc59562331#_Toc59562331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Выручка от реализации проекта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_Toc59562331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45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20F28" w:rsidP="003E6B4F">
      <w:pPr>
        <w:tabs>
          <w:tab w:val="right" w:leader="dot" w:pos="9772"/>
        </w:tabs>
        <w:spacing w:after="0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hyperlink r:id="rId26" w:anchor="_Toc59562332#_Toc59562332" w:history="1">
        <w:r w:rsidR="003E6B4F" w:rsidRPr="007B2AA3">
          <w:rPr>
            <w:rFonts w:ascii="Times New Roman" w:eastAsia="Times New Roman" w:hAnsi="Times New Roman" w:cs="Times New Roman"/>
            <w:noProof/>
            <w:sz w:val="28"/>
            <w:szCs w:val="28"/>
            <w:u w:val="single"/>
          </w:rPr>
          <w:t>Инвестиции по Вилейскому району</w:t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ab/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begin"/>
        </w:r>
        <w:r w:rsidR="003E6B4F" w:rsidRPr="007B2AA3"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instrText xml:space="preserve"> PAGEREF _Toc59562332 \h </w:instrText>
        </w:r>
        <w:r w:rsidR="003E6B4F" w:rsidRPr="007B2AA3">
          <w:rPr>
            <w:rFonts w:ascii="Times New Roman" w:eastAsia="Times New Roman" w:hAnsi="Times New Roman" w:cs="Times New Roman"/>
            <w:u w:val="single"/>
          </w:rPr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separate"/>
        </w:r>
        <w:r>
          <w:rPr>
            <w:rFonts w:ascii="Times New Roman" w:eastAsia="Times New Roman" w:hAnsi="Times New Roman" w:cs="Times New Roman"/>
            <w:noProof/>
            <w:webHidden/>
            <w:sz w:val="28"/>
            <w:szCs w:val="28"/>
          </w:rPr>
          <w:t>48</w:t>
        </w:r>
        <w:r w:rsidR="003E6B4F" w:rsidRPr="007B2AA3">
          <w:rPr>
            <w:rFonts w:ascii="Times New Roman" w:eastAsia="Times New Roman" w:hAnsi="Times New Roman" w:cs="Times New Roman"/>
            <w:u w:val="single"/>
          </w:rPr>
          <w:fldChar w:fldCharType="end"/>
        </w:r>
      </w:hyperlink>
    </w:p>
    <w:p w:rsidR="003E6B4F" w:rsidRPr="007B2AA3" w:rsidRDefault="003E6B4F" w:rsidP="003E6B4F">
      <w:pPr>
        <w:spacing w:after="0"/>
        <w:jc w:val="both"/>
        <w:rPr>
          <w:rFonts w:ascii="Calibri" w:eastAsia="Times New Roman" w:hAnsi="Calibri" w:cs="Times New Roman"/>
        </w:rPr>
      </w:pPr>
      <w:r w:rsidRPr="007B2AA3">
        <w:rPr>
          <w:rFonts w:ascii="Calibri" w:eastAsia="Times New Roman" w:hAnsi="Calibri" w:cs="Times New Roman"/>
        </w:rPr>
        <w:fldChar w:fldCharType="end"/>
      </w:r>
    </w:p>
    <w:p w:rsidR="003E6B4F" w:rsidRPr="003E6B4F" w:rsidRDefault="003E6B4F" w:rsidP="003E6B4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6B4F">
        <w:rPr>
          <w:rFonts w:ascii="Times New Roman" w:eastAsia="Times New Roman" w:hAnsi="Times New Roman" w:cs="Times New Roman"/>
        </w:rPr>
        <w:br w:type="page"/>
      </w:r>
    </w:p>
    <w:p w:rsidR="003E6B4F" w:rsidRPr="003E6B4F" w:rsidRDefault="003E6B4F" w:rsidP="003E6B4F">
      <w:pPr>
        <w:keepNext/>
        <w:keepLines/>
        <w:spacing w:after="0" w:line="254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" w:name="_Toc59562311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Вариант 1 «Оцинкованные контейнера»</w:t>
      </w:r>
      <w:bookmarkEnd w:id="2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Вариант 1 настоящей схемы обращения с твердыми коммунальными отходами подразумевает замену контейнеров для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на оцинкованные контейнера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Оборудование перегрузочной станции на территории действующего полигона ТКО г. Вилейка и установку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мусоросортровочной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линии мощностью 5 000 тонн 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3" w:name="_Toc59562312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</w:rPr>
          <w:t>1,1</w:t>
        </w:r>
        <w:bookmarkEnd w:id="1"/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</w:rPr>
          <w:t xml:space="preserve"> м</w:t>
        </w: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  <w:vertAlign w:val="superscript"/>
          </w:rPr>
          <w:t>3</w:t>
        </w:r>
      </w:smartTag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для сбора ТКО и ВМР</w:t>
      </w:r>
      <w:bookmarkEnd w:id="3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для сбора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необходимо заменить на контейнеры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это позволит беспрепятственно осуществлять загрузку контейнеров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задним механизмом загрузки, так же экономить пространство и время – так как 2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по объему эквивалентны 3 контейнерам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0,75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>, а по габаритам существенно меньше.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 традиционно применяемых открытых контейнерах для ВМР 0,75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содержится высокий процент ненужных фракций, которые загрязняют ВМР. В итоге загрязненное вторсырье становится непригодным для дальнейшей переработки. Таким образом, контейнеры нового типа должны повысить качество собираемого вторичного сырья.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Оцинкованные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обладают и рядом других немаловажных преимуществ: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более прочные. На корпус такого контейнера при загрузке в мусоровоз практически не оказывается механическое воздействие, за счёт чего он сохраняет свою форму, внешний вид и может служить 7-10 лет и более;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экономическая выгода при обслуживании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евроконтейнеров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 Оцинкованные контейнеры не нужно регулярно красить, вывозятся они реже за счёт большей ёмкости;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эстетическая привлекательность. Контейнер сохраняет свою форму и внешний вид на протяжении всего периода эксплуатации. Обычные контейнеры с течением времени из-за особенностей загрузки в мусоровоз теряют свою форму и внешний вид;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низкие эксплуатационные расходы на сбор отходов;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мобильность. Контейнеры можно подкатить к загрузочному бункеру мусоровоза и не расходовать ресурс автомобиля на сложные манёвры;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привлекательный внешний вид. Симпатичные разноцветные контейнеры совершенно не портят внешний вид придомовых территорий.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замены стандартных контейнеров рассматриваются контейнеры, приспособленные к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манипулятором задней загрузки, характеристики контейнеров представлены в таблице 1.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1 -Характеристики новых контейнеров для ТКО и ВМР*.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2405"/>
        <w:gridCol w:w="2463"/>
      </w:tblGrid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Контейнер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ТКО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Контейнер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ВМР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 1,2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1,5мм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 сетка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1385×1000×1395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1370×1000×1305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440 кг</w:t>
              </w:r>
            </w:smartTag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0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400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Собственная масса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3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кг</w:t>
              </w:r>
            </w:smartTag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5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75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 м3</w:t>
              </w:r>
            </w:smartTag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 м3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на резине, снабжены тормозом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на резине, снабжены тормозом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610,00 р. с НДС</w:t>
            </w:r>
          </w:p>
        </w:tc>
        <w:tc>
          <w:tcPr>
            <w:tcW w:w="24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600,00 р. с НДС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Примеры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 и ВМР приведены на рисунках 1 - 2.</w:t>
      </w:r>
    </w:p>
    <w:p w:rsidR="003E6B4F" w:rsidRPr="003E6B4F" w:rsidRDefault="003E6B4F" w:rsidP="003E6B4F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47925" cy="2447925"/>
            <wp:effectExtent l="0" t="0" r="9525" b="9525"/>
            <wp:docPr id="30" name="Рисунок 30" descr="Описание: Описание: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Описание: Описание: 1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Рисунок 1 – Внешний вид оцинкованного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</w:t>
      </w:r>
    </w:p>
    <w:p w:rsidR="003E6B4F" w:rsidRPr="003E6B4F" w:rsidRDefault="003E6B4F" w:rsidP="003E6B4F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3076575" cy="2847975"/>
            <wp:effectExtent l="0" t="0" r="9525" b="9525"/>
            <wp:docPr id="29" name="Рисунок 29" descr="Описание: Описание: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Описание: Описание: 1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Рисунок 2 – Внешний вид оцинкованного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ВМР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Замена стандартных контейнеров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 проводится на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Для приобретения рекомендуется приобретение 383 контейнера для сбора ТКО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814 контейнеров для раздельного и смешанного сбора ВМР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Количество контейнеров для ТКО может изменяться и дополняться в соответствии с потребностью каждой конкретной площадки.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Общая стоимость оцинкованных контейнеров, рекомендованных к приобретению равна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722 030,00 руб. (или 601 691,67 руб. без НДС 20 %)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и рассчитывается путем суммации общей стоимости всех контейнеров ТКО и ВМР (1).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(1)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233 630,00 +488 400,00 = 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722 030,00 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общ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контейнеров, рекомендованных к приобретению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Стоимость оцинкованных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ТКО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(2) составляет 233 630,00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194 691,67 руб. без НДС 20 %).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(2)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383 × 610,00 = 233 630 руб. 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количество контейнеров для ТКО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ТКО (из открытых источников).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случае приобретения оцинкованных контейнеров, стоимость контейнеров </w:t>
      </w:r>
      <w:smartTag w:uri="urn:schemas-microsoft-com:office:smarttags" w:element="metricconverter">
        <w:smartTagPr>
          <w:attr w:name="ProductID" w:val="1.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1.1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ВМР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(3) составляет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488 400,00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407 000,00 руб. без НДС 20 %).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(3)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814 × 600,00 = 488 400,00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для ВМР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Св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ВМР (из открытых источников).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ТКО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610,00 руб. / 7лет = 87,14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383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87,14 руб. * 383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33 374,62 руб.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ВМР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600,00 руб. / 7лет = 85,71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814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85,71 руб. * 814=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69 767,94 руб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Сумма годовых амортизационных затрат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контейнеры объемом 1,1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равна: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33 374,62 руб. + 69 767,94 руб.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103 142,56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или 85 952,13 руб. без НДС 20 %)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Новые 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смены стандартных контейнеров должны соответствовать требованиям действующего законодательства и ТКП 17.11-08-2020 «Охрана окружающей среды и природопользование. Отходы. Правила обращения с коммунальными отходами».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тому же контейнеры объёма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0,75 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подлежащие замене и утилизации можно сдать на металлолом. Так как вес одного контейнера составляет порядка </w:t>
      </w:r>
      <w:smartTag w:uri="urn:schemas-microsoft-com:office:smarttags" w:element="metricconverter">
        <w:smartTagPr>
          <w:attr w:name="ProductID" w:val="60 кг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60 кг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., а тариф на приём металлолома составляет 0,18 руб./кг, за сдачу контейнеров можно выручить порядка 4 633,20 руб. (Таблица 2).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Количество контейнеров объемом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0,75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м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списанных при замене их на контейнеры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объемом 1,1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контейнерных площадках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составляет 429 шт.</w:t>
      </w:r>
    </w:p>
    <w:p w:rsidR="003E6B4F" w:rsidRPr="003E6B4F" w:rsidRDefault="003E6B4F" w:rsidP="003E6B4F">
      <w:pPr>
        <w:spacing w:before="120" w:after="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2 – Выгода от сдачи на металлолом контейнеров объёма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1525"/>
        <w:gridCol w:w="2629"/>
        <w:gridCol w:w="2929"/>
      </w:tblGrid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Количество контейнеров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Вес, кг.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Тариф за сдачу, р/кг.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Стоимость сдачи металлолома, руб.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0,18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4 633,20</w:t>
            </w:r>
          </w:p>
        </w:tc>
      </w:tr>
    </w:tbl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4" w:name="_Toc59562313"/>
      <w:bookmarkStart w:id="5" w:name="_Toc22099750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Контейнеры объемом 0,12 м</w:t>
      </w:r>
      <w:r w:rsidRPr="003E6B4F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t>3</w:t>
      </w:r>
      <w:bookmarkEnd w:id="4"/>
      <w:bookmarkEnd w:id="5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осуществления раздельного сбора отходов в частном секторе района рекомендовано снабдить физические лица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отходов, не подлежащих переработке (ТКО), и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смешанных ВМР (Рисунок 3).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276600" cy="2457450"/>
            <wp:effectExtent l="0" t="0" r="0" b="0"/>
            <wp:docPr id="28" name="Рисунок 28" descr="Описание: Описание: G:\Фоменок\1 Перспективное развитие\Этап III Сценарии\Наработки\0,12 м3 контей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Описание: Описание: G:\Фоменок\1 Перспективное развитие\Этап III Сценарии\Наработки\0,12 м3 контейнер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>Рисунок 3 – Внешний вид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Такие контейнеры оптимально подходят для физических лиц, так как обладают небольшими объемами, что позволяет с легкостью их транспортировать в пределах участков, а также облегчает их загрузку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, при этом данного объема достаточно для накопления отходов и заявочного их удаления без образования неприятных запахов, и начала процессов разложения. Характеристики таких контейнеров представлены в таблице 3.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3 – Характеристики контейнеров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сбора ТКО и ВМР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394"/>
      </w:tblGrid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Значения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мм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480×553×975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нагрузка, кг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схеме обращения с коммунальными отходами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необходима расстановка 28 830 контейнеров для сбора смешанных ТКО и ВМР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сумма, необходимая для приобретения такого количества контейнеров (4) составляет 1 729 800,00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1 441 500,00 руб. без НДС 20 %)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3E6B4F" w:rsidRPr="003E6B4F" w:rsidRDefault="003E6B4F" w:rsidP="003E6B4F">
      <w:pPr>
        <w:tabs>
          <w:tab w:val="left" w:pos="4335"/>
        </w:tabs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(4)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28 830× 60,00 = 1 729 800,00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общая стоимость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0,12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(из открытых источников).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bookmarkStart w:id="6" w:name="_Toc22099751"/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предлагается выдавать на основе безвозмездного пользования.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Амортизационные затраты на 1 контейнер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составляют: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60 руб. / 7 лет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8,6 руб.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Сумма амортизационных затрат на все контейнеры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составит: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8,6 руб. * 28 830 шт.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247 938,00 руб. (</w:t>
      </w:r>
      <w:r w:rsidRPr="003E6B4F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или 206 615,00 руб. без НДС 20 %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)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7" w:name="_Toc59562314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Замена существующего </w:t>
      </w:r>
      <w:proofErr w:type="spellStart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спецавтортанспорта</w:t>
      </w:r>
      <w:bookmarkEnd w:id="6"/>
      <w:bookmarkEnd w:id="7"/>
      <w:proofErr w:type="spellEnd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Национальной стратегии развития системы обращения с твердыми коммунальными отходами и вторичными материальными ресурсами в Республике Беларусь до 2025 года, весь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спецавтоторанспорт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боковой загрузкой по мере его износа необходимо заменить на мусоровозы с задней загрузкой.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Мусоровозы с задней загрузкой предназначены для механизированного сбора ТКО из контейнеров всех типов, их уплотнения, транспортирования, и механизированной выгрузки в местах утилизации.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преимущества мусоровозов с задней загрузкой мусора: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опорожнение каждого контейнера занимает меньше времени, по сравнению с мусоровозами боковой загрузки;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могут быть адаптированы к различным видам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экологическая чистота. Низко расположенный бункер и конструкция контейнера практически исключают просыпание мусора при выгрузке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безопасная эксплуатация, так как нет никаких движущихся частей за пределами кузова мусоровоза;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простота в эксплуатации;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отходы могут загружаться как автоматически, так и вручную. В частном секторе мусор часто оставляют на обочинах в контейнерах или просто в пакетах. Мусоровоз с задней загрузкой может собирать такие пакеты на ходу;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коэффициент уплотнения мусора позволяет вывозить больший объем за один рейс.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существенных преимуществ мусоровозов с системой задней загрузки у них имеются и недостатки: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высокая цена по сравнению с мусоровозами с боковой загрузкой;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уровень уплотнения только в западных марках мусоровозов, которые в два раза дороже, чем российские/белорусские мусоровозы.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услуги по обращению с ТКО и ВМР осуществляет 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 располагает парком транспортных средств, предназначенных для перевозки ТКО и ВМР, а также для эксплуатации имеющихся объектов захоронения ТКО, включающим в себя 15 транспортных единиц (12 мусоровозов, 3 бульдозера).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К приобретению рекомендована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спецавтотехника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аналогичная по грузоподъемности уже имеющимся мусоровозам. В случае приобретения и 100% обеспечения частного сектора контейнерами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рекомендовано увеличение транспортных единиц согласно необходимым мощностям. Предлагаемые модели*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замены имеющегося автопарка представлены в таблице 4.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Таблица 4 – предлагаемые модели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замены и (или) дополнения имеющегося автопарка замены*.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1418"/>
        <w:gridCol w:w="708"/>
        <w:gridCol w:w="1418"/>
        <w:gridCol w:w="1730"/>
        <w:gridCol w:w="1417"/>
      </w:tblGrid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Вместимость кузова, м</w:t>
            </w: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Грузоподъемность,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Цена*,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Назначение</w:t>
            </w:r>
          </w:p>
        </w:tc>
      </w:tr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449 654,40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ВМР </w:t>
            </w:r>
          </w:p>
        </w:tc>
      </w:tr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1 199 078,40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ТКО </w:t>
            </w:r>
          </w:p>
        </w:tc>
      </w:tr>
    </w:tbl>
    <w:p w:rsidR="003E6B4F" w:rsidRPr="003E6B4F" w:rsidRDefault="003E6B4F" w:rsidP="003E6B4F">
      <w:pPr>
        <w:pBdr>
          <w:bottom w:val="single" w:sz="12" w:space="1" w:color="auto"/>
        </w:pBd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* - Взято из открытых источников.</w:t>
      </w:r>
    </w:p>
    <w:p w:rsidR="003E6B4F" w:rsidRPr="003E6B4F" w:rsidRDefault="003E6B4F" w:rsidP="003E6B4F">
      <w:pPr>
        <w:spacing w:before="240" w:after="0" w:line="252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МАЗ-5904С2-012</w:t>
      </w:r>
    </w:p>
    <w:p w:rsidR="003E6B4F" w:rsidRPr="003E6B4F" w:rsidRDefault="003E6B4F" w:rsidP="003E6B4F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Модель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(рисунок 4) предназначена для механизированной и ручной загрузки, уплотнения, транспортировки и выгрузки ТКО. Модель оснащена механизмом загрузки заднего типа и рекомендована для участия в процессе удаления ТКО и ВМР 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3"/>
          <w:szCs w:val="3"/>
          <w:lang w:val="be-BY"/>
        </w:rPr>
      </w:pP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57475" cy="1962150"/>
            <wp:effectExtent l="0" t="0" r="9525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lastRenderedPageBreak/>
        <w:t>Рисунок 4 – МАЗ-5904С2-012</w:t>
      </w:r>
    </w:p>
    <w:p w:rsidR="003E6B4F" w:rsidRPr="003E6B4F" w:rsidRDefault="003E6B4F" w:rsidP="003E6B4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приобретения рекомендованы мусоровозы модели МАЗ-5904С2-012 в количестве 11 шт., объемом </w:t>
      </w:r>
      <w:smartTag w:uri="urn:schemas-microsoft-com:office:smarttags" w:element="metricconverter">
        <w:smartTagPr>
          <w:attr w:name="ProductID" w:val="17 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17 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стоимостью 149 884,80 руб. На приобретение 11 единиц мусоровозов потребуется 1 648 732,80 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1 373 944,00 руб. без НДС 20 %).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714625" cy="247650"/>
            <wp:effectExtent l="0" t="0" r="9525" b="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714625" cy="247650"/>
            <wp:effectExtent l="0" t="0" r="9525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руб.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20"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Стоимость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составляет порядка 149 884,8 руб. с НДС, а срок ее эксплуатации – ориентировочно 10 лет. Таким образом,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амортизационные затраты 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составят: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124 904,00 руб. / 10 лет = 12 490,40 руб. в год для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без НДС.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12 490,40. * 11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137 394,40 руб. 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без НДС 20 %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8" w:name="_Toc59562315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Перегрузочная станция</w:t>
      </w:r>
      <w:bookmarkEnd w:id="8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В районе планируется закрытие и передача на рекультивацию всех мини-полигонов и полигона, все отходы будут вывозиться централизованно на полигон перегрузочную станцию, находящуюся на территории действующего полигона ТКО. Таким образом, размещение мусоросортировочной линии оптимально на территории планируемой перегрузочной станции.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Помимо этого, необходимо учитывать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досортировочную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линию для раздельно собранных ВМР, которая так же будет располагаться на территории перегрузочной станции.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Цена строительства </w:t>
      </w:r>
      <w:smartTag w:uri="urn:schemas-microsoft-com:office:smarttags" w:element="metricconverter">
        <w:smartTagPr>
          <w:attr w:name="ProductID" w:val="1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1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ангара для перегрузочной станции составляет 150,00 бел. руб.*, принимая во внимание, что на территории ангара необходимо разместить зону выгрузки ТКО из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зону складирования ТКО перед ее отправкой на региональный полигон и зону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досортировки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раздельно собранных ВМР, оптимальная величина ангара будет составлять </w:t>
      </w:r>
      <w:smartTag w:uri="urn:schemas-microsoft-com:office:smarttags" w:element="metricconverter">
        <w:smartTagPr>
          <w:attr w:name="ProductID" w:val="450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450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или 30 × </w:t>
      </w:r>
      <w:smartTag w:uri="urn:schemas-microsoft-com:office:smarttags" w:element="metricconverter">
        <w:smartTagPr>
          <w:attr w:name="ProductID" w:val="15 м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15 м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. Исходя из этого, стоимость ангара для перегрузочной станции может составить ориентировочно 67 500,00 бел. руб.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Бетонная стяжка пола за </w:t>
      </w:r>
      <w:smartTag w:uri="urn:schemas-microsoft-com:office:smarttags" w:element="metricconverter">
        <w:smartTagPr>
          <w:attr w:name="ProductID" w:val="1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1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составляет 44,00 бел. руб.*, соответственно, бетонная стяжка </w:t>
      </w:r>
      <w:smartTag w:uri="urn:schemas-microsoft-com:office:smarttags" w:element="metricconverter">
        <w:smartTagPr>
          <w:attr w:name="ProductID" w:val="450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450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составит ориентировочно 19 800,00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бел.руб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Для освещения такого помещения необходима установка светильных приборов (фонарей) в размере 8 шт. Цена 1 шт. фонаря приблизительно равна 900,00 бел. руб.*, таким образом стоимость осветительных приборов на весь ангар составит порядка 5 400,00 бел. руб.</w:t>
      </w:r>
    </w:p>
    <w:p w:rsidR="003E6B4F" w:rsidRPr="003E6B4F" w:rsidRDefault="003E6B4F" w:rsidP="003E6B4F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Принимая во внимание все вышеуказанное, стоимость строительства перегрузочной станции ориентировочно составит 92 700,00 бел. 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77 250,00 руб. без НДС 20 %).</w:t>
      </w:r>
    </w:p>
    <w:p w:rsidR="003E6B4F" w:rsidRPr="003E6B4F" w:rsidRDefault="003E6B4F" w:rsidP="003E6B4F">
      <w:pPr>
        <w:pBdr>
          <w:bottom w:val="single" w:sz="12" w:space="1" w:color="auto"/>
        </w:pBd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* - взято из открытых источников.</w:t>
      </w:r>
    </w:p>
    <w:p w:rsidR="003E6B4F" w:rsidRPr="003E6B4F" w:rsidRDefault="003E6B4F" w:rsidP="003E6B4F">
      <w:pPr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3E6B4F" w:rsidRPr="003E6B4F" w:rsidRDefault="003E6B4F" w:rsidP="003E6B4F">
      <w:pPr>
        <w:keepNext/>
        <w:keepLines/>
        <w:spacing w:after="0" w:line="254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9" w:name="_Toc59562316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Вариант 2 «Оцинкованные контейнера, вывоз на полигон»</w:t>
      </w:r>
      <w:bookmarkEnd w:id="9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Вариант 2 настоящей схемы обращения с твердыми коммунальными отходами подразумевает замену контейнеров для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на оцинкованные контейнеры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Отказ от оборудования перегрузочной станции на территории действующего полигона ТКО г. Вилейка и следование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(мусоровозов) на региональный полигон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Вилейский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район, а также установку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мусоросортровочной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линии мощностью 5 000 тонн 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0" w:name="_Toc59562317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</w:rPr>
          <w:t>1,1 м</w:t>
        </w: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  <w:vertAlign w:val="superscript"/>
          </w:rPr>
          <w:t>3</w:t>
        </w:r>
      </w:smartTag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для сбора ТКО и ВМР</w:t>
      </w:r>
      <w:bookmarkEnd w:id="10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для сбора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необходимо заменить на контейнеры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это позволит беспрепятственно осуществлять загрузку контейнеров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задним механизмом загрузки, так же экономить пространство и время – так как 2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по объему эквивалентны 3 контейнерам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0,75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>, а по габаритам существенно меньше.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 традиционно применяемых открытых контейнерах для ВМР 0,75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содержится высокий процент ненужных фракций, которые загрязняют ВМР. В итоге загрязненное вторсырье становится непригодным для дальнейшей переработки. Таким образом, контейнеры нового типа должны повысить качество собираемого вторичного сырья.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Оцинкованные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обладают и рядом других немаловажных преимуществ: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более прочные. На корпус такого контейнера при загрузке в мусоровоз практически не оказывается механическое воздействие, за счёт чего он сохраняет свою форму, внешний вид и может служить 7-10 лет и более;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экономическая выгода при обслуживании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евроконтейнеров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 Оцинкованные контейнеры не нужно регулярно красить, вывозятся они реже за счёт большей ёмкости;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эстетическая привлекательность. Контейнер сохраняет свою форму и внешний вид на протяжении всего периода эксплуатации. Обычные контейнеры с течением времени из-за особенностей загрузки в мусоровоз теряют свою форму и внешний вид;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низкие эксплуатационные расходы на сбор отходов;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мобильность. Контейнеры можно подкатить к загрузочному бункеру мусоровоза и не расходовать ресурс автомобиля на сложные манёвры;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привлекательный внешний вид. Симпатичные разноцветные контейнеры совершенно не портят внешний вид придомовых территорий.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замены стандартных контейнеров рассматриваются контейнеры, приспособленные к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манипулятором задней загрузки, характеристики контейнеров представлены в таблице 5.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5 -Характеристики новых контейнеров для ТКО и ВМР*.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694"/>
        <w:gridCol w:w="2831"/>
        <w:gridCol w:w="2888"/>
      </w:tblGrid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Контейнер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ТКО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Контейнер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ВМР</w:t>
            </w:r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 1,2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softHyphen/>
              <w:t>1,5мм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Сталь сетка</w:t>
            </w:r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1385×1000×1395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1370×1000×1305</w:t>
            </w:r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4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440 кг</w:t>
              </w:r>
            </w:smartTag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40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400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Собственная масса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3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130 кг</w:t>
              </w:r>
            </w:smartTag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75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75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 м3</w:t>
              </w:r>
            </w:smartTag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 м3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на резине, снабжены тормозом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на резине, снабжены тормозом</w:t>
            </w:r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10 лет</w:t>
            </w:r>
          </w:p>
        </w:tc>
      </w:tr>
      <w:tr w:rsidR="003E6B4F" w:rsidRPr="003E6B4F" w:rsidTr="005C6E2F">
        <w:trPr>
          <w:jc w:val="center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610,00 р. с НДС</w:t>
            </w:r>
          </w:p>
        </w:tc>
        <w:tc>
          <w:tcPr>
            <w:tcW w:w="2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600,00 р. с НДС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Примеры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 и ВМР приведены на рисунках 5-6.</w:t>
      </w:r>
    </w:p>
    <w:p w:rsidR="003E6B4F" w:rsidRPr="003E6B4F" w:rsidRDefault="003E6B4F" w:rsidP="003E6B4F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447925" cy="2447925"/>
            <wp:effectExtent l="0" t="0" r="9525" b="9525"/>
            <wp:docPr id="22" name="Рисунок 22" descr="Описание: Описание: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111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Рисунок 5 – Внешний вид оцинкованного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</w:t>
      </w:r>
    </w:p>
    <w:p w:rsidR="003E6B4F" w:rsidRPr="003E6B4F" w:rsidRDefault="003E6B4F" w:rsidP="003E6B4F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3076575" cy="2847975"/>
            <wp:effectExtent l="0" t="0" r="9525" b="9525"/>
            <wp:docPr id="21" name="Рисунок 21" descr="Описание: Описание: 1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11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Рисунок 6 – Внешний вид оцинкованного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ВМР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Замена стандартных контейнеров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 проводится на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Для приобретения рекомендуется приобретение 383 контейнера для сбора ТКО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814 контейнеров для раздельного и смешанного сбора ВМР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Количество контейнеров для ТКО может изменяться и дополняться в соответствии с потребностью каждой конкретной площадки.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Общая стоимость оцинкованных контейнеров, рекомендованных к приобретению равна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722 030,00 руб. (или 601 691,67 руб. без НДС 20 %)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и рассчитывается путем суммации общей стоимости всех контейнеров ТКО и ВМР (1).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(1)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233 630,00 +488 400,00 = 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722 030,00 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общ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контейнеров, рекомендованных к приобретению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Стоимость оцинкованных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ТКО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(2) составляет 233 630,00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194 691,67 руб. без НДС 20 %).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(2)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383 × 610,00 = 233 630 руб. 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количество контейнеров для ТКО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ТКО (из открытых источников).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случае приобретения оцинкованных контейнеров, стоимость контейнеров </w:t>
      </w:r>
      <w:smartTag w:uri="urn:schemas-microsoft-com:office:smarttags" w:element="metricconverter">
        <w:smartTagPr>
          <w:attr w:name="ProductID" w:val="1.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1.1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ВМР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(3) составляет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488 400,00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407 000,00 руб. без НДС 20 %).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(3)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814 × 600,00 = 488 400,00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для ВМР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Св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ВМР (из открытых источников).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ТКО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610,00 руб. / 7лет = 87,14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383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87,14 руб. * 383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33 374,62 руб.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ВМР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600,00 руб. / 7лет = 85,71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814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85,71 руб. * 814=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69 767,94 руб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lastRenderedPageBreak/>
        <w:t>Сумма годовых амортизационных затрат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контейнеры объемом 1,1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равна: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33 374,62 руб. + 69 767,94 руб.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103 142,56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  <w:lang w:eastAsia="ru-RU"/>
        </w:rPr>
        <w:t>или 85 952,13 руб. без НДС 20 %)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Новые 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смены стандартных контейнеров должны соответствовать требованиям действующего законодательства и ТКП 17.11-08-2020 «Охрана окружающей среды и природопользование. Отходы. Правила обращения с коммунальными отходами».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тому же контейнеры объёма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0,75 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подлежащие замене и утилизации можно сдать на металлолом. Так как вес одного контейнера составляет порядка </w:t>
      </w:r>
      <w:smartTag w:uri="urn:schemas-microsoft-com:office:smarttags" w:element="metricconverter">
        <w:smartTagPr>
          <w:attr w:name="ProductID" w:val="60 кг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60 кг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., а тариф на приём металлолома составляет 0,18 руб./кг, за сдачу контейнеров можно выручить порядка 4 633,20 руб. (Таблица 6).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Количество контейнеров объемом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0,75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м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списанных при замене их на контейнеры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объемом 1,1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контейнерных площадках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составляет 429 шт.</w:t>
      </w: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6 – Выгода от сдачи на металлолом контейнеров объёма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1525"/>
        <w:gridCol w:w="2629"/>
        <w:gridCol w:w="2929"/>
      </w:tblGrid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Количество контейнеров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Вес, кг.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Тариф за сдачу, р/кг.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Стоимость сдачи металлолома, руб.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0,18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4 633,20</w:t>
            </w:r>
          </w:p>
        </w:tc>
      </w:tr>
    </w:tbl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1" w:name="_Toc59562318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Контейнеры объемом 0,12 м</w:t>
      </w:r>
      <w:r w:rsidRPr="003E6B4F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t>3</w:t>
      </w:r>
      <w:bookmarkEnd w:id="11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осуществления раздельного сбора отходов в частном секторе района рекомендовано снабдить физические лица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отходов, не подлежащих переработке (ТКО), и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смешанных ВМР (Рисунок 7).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371850" cy="2533650"/>
            <wp:effectExtent l="0" t="0" r="0" b="0"/>
            <wp:docPr id="20" name="Рисунок 20" descr="Описание: Описание: G:\Фоменок\1 Перспективное развитие\Этап III Сценарии\Наработки\0,12 м3 контей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Описание: G:\Фоменок\1 Перспективное развитие\Этап III Сценарии\Наработки\0,12 м3 контейнер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253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>Рисунок 7 – Внешний вид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Такие контейнеры оптимально подходят для физических лиц, так как обладают небольшими объемами, что позволяет с легкостью их транспортировать в пределах участков, а также облегчает их загрузку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, при этом данного объема достаточно для накопления отходов и заявочного их удаления без образования неприятных запахов, и начала процессов разложения. Характеристики таких контейнеров представлены в таблице 7.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7 – Характеристики контейнеров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сбора ТКО и ВМР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394"/>
      </w:tblGrid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Значения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мм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480×553×975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нагрузка, кг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схеме обращения с коммунальными отходами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необходима расстановка 28 830 контейнеров для сбора смешанных ТКО и ВМР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сумма, необходимая для приобретения такого количества контейнеров (4) составляет 1 729 800,00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1 441 500,00 руб. без НДС 20 %)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3E6B4F" w:rsidRPr="003E6B4F" w:rsidRDefault="003E6B4F" w:rsidP="003E6B4F">
      <w:pPr>
        <w:tabs>
          <w:tab w:val="left" w:pos="4335"/>
        </w:tabs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(4)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28 830× 60,00 = 1 729 800,00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общая стоимость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0,12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(из открытых источников).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предлагается выдавать на основе безвозмездного пользования.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Амортизационные затраты на 1 контейнер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составляют: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60 руб. / 7 лет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8,6 руб.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Сумма амортизационных затрат на все контейнеры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составит: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8,6 руб. * 28 830 шт.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247 938,00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или 206 615 руб. без НДС 20 %)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2" w:name="_Toc59562319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Замена существующего </w:t>
      </w:r>
      <w:proofErr w:type="spellStart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спецавтортанспорта</w:t>
      </w:r>
      <w:bookmarkEnd w:id="12"/>
      <w:proofErr w:type="spellEnd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Национальной стратегии развития системы обращения с твердыми коммунальными отходами и вторичными материальными ресурсами в Республике Беларусь до 2025 года, весь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спецавтоторанспорт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боковой загрузкой по мере его износа необходимо заменить на мусоровозы с задней загрузкой.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Мусоровозы с задней загрузкой предназначены для механизированного сбора ТКО из контейнеров всех типов, их уплотнения, транспортирования, и механизированной выгрузки в местах утилизации.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преимущества мусоровозов с задней загрузкой мусора: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опорожнение каждого контейнера занимает меньше времени, по сравнению с мусоровозами боковой загрузки;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могут быть адаптированы к различным видам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экологическая чистота. Низко расположенный бункер и конструкция контейнера практически исключают просыпание мусора при выгрузке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безопасная эксплуатация, так как нет никаких движущихся частей за пределами кузова мусоровоза;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простота в эксплуатации;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отходы могут загружаться как автоматически, так и вручную. В частном секторе мусор часто оставляют на обочинах в контейнерах или просто в пакетах. Мусоровоз с задней загрузкой может собирать такие пакеты на ходу;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коэффициент уплотнения мусора позволяет вывозить больший объем за один рейс.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существенных преимуществ мусоровозов с системой задней загрузки у них имеются и недостатки: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высокая цена по сравнению с мусоровозами с боковой загрузкой;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уровень уплотнения только в западных марках мусоровозов, которые в два раза дороже, чем российские/белорусские мусоровозы.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услуги по обращению с ТКО и ВМР осуществляет 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 располагает парком транспортных средств, предназначенных для перевозки ТКО и ВМР, а также для эксплуатации имеющихся объектов захоронения ТКО, включающим в себя 15 транспортных единиц (12 мусоровозов, 3 бульдозера).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случае прямого вывоза ТКО на территорию регионального полигона ТКО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Молодечненском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районе, маршрут каждого мусоровоза увеличится на </w:t>
      </w:r>
      <w:smartTag w:uri="urn:schemas-microsoft-com:office:smarttags" w:element="metricconverter">
        <w:smartTagPr>
          <w:attr w:name="ProductID" w:val="17 км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17 км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а следовательно на 50 минут в обе стороны, принимая во внимание ориентировочное время для разгрузки (30 мин.), рабочее время 1 мусоровоза увеличится на 1 час 20 минут. В пересчете на 11 мусоровозов, осуществляющих услуги по вывозу ТКО, общее рабочее время увеличится на 14 часов и 40 минут. Таким образом, в результате отказа от строительства перегрузочной станции, возникает необходимость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пересмотрении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рабочего графика водителей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спецавтотранспорта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да 12 часов в день (с 8:00 до 20:00).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К приобретению рекомендована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спецавтотехника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аналогичная по грузоподъемности уже имеющимся мусоровозам. В случае приобретения и 100% обеспечения частного сектора контейнерами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рекомендовано увеличение транспортных единиц согласно необходимым мощностям. Предлагаемые модели*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замены имеющегося автопарка представлены в таблице 8.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Таблица 8 – предлагаемые модели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замены и (или) дополнения имеющегося автопарка замены*.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1418"/>
        <w:gridCol w:w="708"/>
        <w:gridCol w:w="1418"/>
        <w:gridCol w:w="1588"/>
        <w:gridCol w:w="1417"/>
      </w:tblGrid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Вместимость кузова, м</w:t>
            </w: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Грузоподъемность,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Цена*,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Назначение</w:t>
            </w:r>
          </w:p>
        </w:tc>
      </w:tr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449 654,40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Удаление ВМР</w:t>
            </w:r>
          </w:p>
        </w:tc>
      </w:tr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1 199 078,40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Удаление ТКО</w:t>
            </w:r>
          </w:p>
        </w:tc>
      </w:tr>
    </w:tbl>
    <w:p w:rsidR="003E6B4F" w:rsidRPr="003E6B4F" w:rsidRDefault="003E6B4F" w:rsidP="003E6B4F">
      <w:pPr>
        <w:pBdr>
          <w:bottom w:val="single" w:sz="12" w:space="1" w:color="auto"/>
        </w:pBd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* - Взято из открытых источников.</w:t>
      </w:r>
    </w:p>
    <w:p w:rsidR="003E6B4F" w:rsidRPr="003E6B4F" w:rsidRDefault="003E6B4F" w:rsidP="003E6B4F">
      <w:pPr>
        <w:spacing w:before="240" w:after="0" w:line="252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МАЗ-5904С2-012</w:t>
      </w:r>
    </w:p>
    <w:p w:rsidR="003E6B4F" w:rsidRPr="003E6B4F" w:rsidRDefault="003E6B4F" w:rsidP="003E6B4F">
      <w:pPr>
        <w:spacing w:after="12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Модель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(рисунок 8) предназначена для механизированной и ручной загрузки, уплотнения, транспортировки и выгрузки ТКО. Модель оснащена механизмом загрузки заднего типа и 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рекомендована для участия в процессе удаления ТКО и ВМР 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3"/>
          <w:szCs w:val="3"/>
          <w:lang w:val="be-BY"/>
        </w:rPr>
      </w:pP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743200" cy="2085975"/>
            <wp:effectExtent l="0" t="0" r="0" b="952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Рисунок 8 – МАЗ-5904С2-012</w:t>
      </w:r>
    </w:p>
    <w:p w:rsidR="003E6B4F" w:rsidRPr="003E6B4F" w:rsidRDefault="003E6B4F" w:rsidP="003E6B4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приобретения рекомендованы мусоровозы модели МАЗ-5904С2-012 в количестве 11 шт., объемом </w:t>
      </w:r>
      <w:smartTag w:uri="urn:schemas-microsoft-com:office:smarttags" w:element="metricconverter">
        <w:smartTagPr>
          <w:attr w:name="ProductID" w:val="17 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17 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стоимостью 149 884,80 руб. На приобретение 11 единиц мусоровозов потребуется 1 648 732,80 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1 373 944,00 руб. без НДС 20 %).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714625" cy="247650"/>
            <wp:effectExtent l="0" t="0" r="952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714625" cy="247650"/>
            <wp:effectExtent l="0" t="0" r="952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руб.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20"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Стоимость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составляет порядка 149 884,8 руб. с НДС, а срок ее эксплуатации – ориентировочно 10 лет. Таким образом,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амортизационные затраты 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составят: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124 904,00 руб. / 10 лет = 12 490,40 руб. в год для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без НДС.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12 490,40. * 11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137 394,40 руб. 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без НДС 20 %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3E6B4F" w:rsidRPr="003E6B4F" w:rsidRDefault="003E6B4F" w:rsidP="003E6B4F">
      <w:pPr>
        <w:keepNext/>
        <w:keepLines/>
        <w:spacing w:after="0" w:line="254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3" w:name="_Toc59562320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Вариант 3 «Пластиковые контейнера, перегрузочная станция»</w:t>
      </w:r>
      <w:bookmarkEnd w:id="13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Вариант 3 настоящей схемы обращения с твердыми коммунальными отходами подразумевает замену контейнеров для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на пластиковые контейнера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Оборудование перегрузочной станции на территории действующего полигона ТКО г. Вилейка и установку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мусоросортровочной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линии мощностью 5 000 тонн 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4" w:name="_Toc59562321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</w:rPr>
          <w:t>1,1 м</w:t>
        </w: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  <w:vertAlign w:val="superscript"/>
          </w:rPr>
          <w:t>3</w:t>
        </w:r>
      </w:smartTag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для сбора ТКО и ВМР</w:t>
      </w:r>
      <w:bookmarkEnd w:id="14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для сбора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необходимо заменить на контейнеры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это позволит беспрепятственно осуществлять загрузку контейнеров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задним механизмом загрузки, так же экономить пространство и время – так как 2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по объему эквивалентны 3 контейнерам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0,75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>, а по габаритам существенно меньше.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 традиционно применяемых открытых контейнерах для ВМР 0,75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содержится высокий процент ненужных фракций, которые загрязняют ВМР. В итоге загрязненное вторсырье становится непригодным для дальнейшей переработки. Таким образом, контейнеры нового типа должны повысить качество собираемого вторичного сырья.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Пластиковые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обладают и рядом других немаловажных преимуществ: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более прочные. На корпус такого контейнера при загрузке в мусоровоз практически не оказывается механическое воздействие, за счёт чего он сохраняет свою форму, внешний вид и может служить 7 лет и более;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экономическая выгода при обслуживании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евроконтейнеров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 Оцинкованные контейнеры не нужно регулярно красить, вывозятся они реже за счёт большей ёмкости;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эстетическая привлекательность. Контейнер сохраняет свою форму и внешний вид на протяжении всего периода эксплуатации. Обычные контейнеры с течением времени из-за особенностей загрузки в мусоровоз теряют свою форму и внешний вид;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низкие эксплуатационные расходы на сбор отходов;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мобильность. Контейнеры можно подкатить к загрузочному бункеру мусоровоза и не расходовать ресурс автомобиля на сложные манёвры;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привлекательный внешний вид. Симпатичные разноцветные контейнеры совершенно не портят внешний вид придомовых территорий.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замены стандартных контейнеров рассматриваются контейнеры, приспособленные к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манипулятором задней загрузки, характеристики контейнеров представлены в таблице 9.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9 -Характеристики новых контейнеров для ТКО и ВМР*.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552"/>
        <w:gridCol w:w="3827"/>
      </w:tblGrid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Контейнер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ТКО и ВМР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1370×1344×1070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1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510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Собственная масса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50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 м3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на резине, снабжены тормозом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3E6B4F" w:rsidRPr="003E6B4F" w:rsidTr="005C6E2F">
        <w:trPr>
          <w:jc w:val="center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570,00р. с НДС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Примеры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 и ВМР приведены на рисунке 9.</w:t>
      </w:r>
    </w:p>
    <w:p w:rsidR="003E6B4F" w:rsidRPr="003E6B4F" w:rsidRDefault="003E6B4F" w:rsidP="003E6B4F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048000" cy="3048000"/>
            <wp:effectExtent l="0" t="0" r="0" b="0"/>
            <wp:docPr id="14" name="Рисунок 14" descr="Описание: C:\Users\Nastya\Desktop\1100ese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Описание: C:\Users\Nastya\Desktop\1100ese-500x50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Рисунок 9 – Внешний вид пластикового контейнера 0,66 и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Замена стандартных контейнеров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 проводится на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евроконтейнера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Для приобретения рекомендуется приобретение 383 контейнера для сбора ТКО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814 контейнера для раздельного и смешанного сбора ВМР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Количество контейнеров для ТКО может изменяться и дополняться в соответствии с потребностью каждой конкретной площадки.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Общая стоимость пластиковых контейнеров, рекомендованных к приобретению равна 682 610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,00 руб. (или 568 841,67 руб. без НДС 20 %)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и рассчитывается путем суммации общей стоимости всех контейнеров ТКО и ВМР (1).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(1)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218 630,00 +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463 980,00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682 610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,00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 руб. 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общ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контейнеров, рекомендованных к приобретению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Стоимость пластиковых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ТКО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(2) составляет 218 310,00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181 925,00 руб. без НДС 20 %)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(2)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383 × 570,00 = 218 310 руб. 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количество контейнеров для ТКО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ТКО (из открытых источников).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случае приобретения пластиковых контейнеров, стоимость контейнеров </w:t>
      </w:r>
      <w:smartTag w:uri="urn:schemas-microsoft-com:office:smarttags" w:element="metricconverter">
        <w:smartTagPr>
          <w:attr w:name="ProductID" w:val="1.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1.1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ВМР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(3) составляет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463 980,00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386 650,00 руб. без НДС 20 %)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(3)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814 × 570,00 = 463 980,00 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ðóá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для ВМР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Св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ВМР (из открытых источников).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ТКО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570,00 руб. / 7лет = 81,43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383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81,43 руб. * 383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31 187,69 руб.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ВМР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570,00 руб. / 7лет = 81,43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814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81,43 руб. * 814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66 284,02 руб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Сумма годовых амортизационных затрат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контейнеры объемом 1,1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равна: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31 187,69 руб. + 66 284,02 руб.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97 471,71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или 81 226,43 руб. без НДС 20 %)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Новые 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смены стандартных контейнеров должны соответствовать требованиям действующего законодательства и ТКП 17.11-08-2020 «Охрана окружающей среды и природопользование. Отходы. Правила обращения с коммунальными отходами».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тому же контейнеры объёма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0,75 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подлежащие замене и утилизации можно сдать на металлолом. Так как вес одного контейнера составляет порядка </w:t>
      </w:r>
      <w:smartTag w:uri="urn:schemas-microsoft-com:office:smarttags" w:element="metricconverter">
        <w:smartTagPr>
          <w:attr w:name="ProductID" w:val="60 кг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60 кг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., а тариф на приём металлолома составляет 0,18 руб./кг, за сдачу контейнеров можно выручить порядка 4 633,20 руб. (Таблица 10).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Количество контейнеров объемом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0,75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м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списанных при замене их на контейнеры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объемом 1,1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контейнерных площадках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составляет 429 шт.</w:t>
      </w: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Таблица 10 – Выгода от сдачи на металлолом контейнеров объёма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1525"/>
        <w:gridCol w:w="2629"/>
        <w:gridCol w:w="2929"/>
      </w:tblGrid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Количество контейнеров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Вес, кг.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Тариф за сдачу, р/кг.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Стоимость сдачи металлолома, руб.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0,18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4 633,20</w:t>
            </w:r>
          </w:p>
        </w:tc>
      </w:tr>
    </w:tbl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5" w:name="_Toc59562322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Контейнеры объемом 0,12 м</w:t>
      </w:r>
      <w:r w:rsidRPr="003E6B4F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t>3</w:t>
      </w:r>
      <w:bookmarkEnd w:id="15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осуществления раздельного сбора отходов в частном секторе района рекомендовано снабдить физические лица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отходов, не подлежащих переработке (ТКО), и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смешанных ВМР (Рисунок 10).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667125" cy="2752725"/>
            <wp:effectExtent l="0" t="0" r="9525" b="9525"/>
            <wp:docPr id="13" name="Рисунок 13" descr="Описание: Описание: G:\Фоменок\1 Перспективное развитие\Этап III Сценарии\Наработки\0,12 м3 контей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 descr="Описание: Описание: G:\Фоменок\1 Перспективное развитие\Этап III Сценарии\Наработки\0,12 м3 контейнер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Рисунок 10 – Внешний вид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Такие контейнеры оптимально подходят для физических лиц, так как обладают небольшими объемами, что позволяет с легкостью их транспортировать в пределах участков, а также облегчает их загрузку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, при этом данного объема достаточно для накопления отходов и заявочного их удаления без образования неприятных запахов, и начала процессов разложения. Характеристики таких контейнеров представлены в таблице 11.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11 – Характеристики контейнеров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сбора ТКО и ВМР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394"/>
      </w:tblGrid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Значения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мм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480×553×975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Максимальная нагрузка, кг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схеме обращения с коммунальными отходами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необходима расстановка 28 830 контейнеров для сбора смешанных ТКО и ВМР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сумма, необходимая для приобретения такого количества контейнеров (4) составляет 1 729 800,00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1 441 500,00 руб. без НДС 20 %)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3E6B4F" w:rsidRPr="003E6B4F" w:rsidRDefault="003E6B4F" w:rsidP="003E6B4F">
      <w:pPr>
        <w:tabs>
          <w:tab w:val="left" w:pos="4335"/>
        </w:tabs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(4)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28 830× 60,00 = 1 729 800,00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общая стоимость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0,12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(из открытых источников).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предлагается выдавать на основе безвозмездного пользования.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Амортизационные затраты на 1 контейнер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составляют: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60 руб. / 7 лет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8,6 руб.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Сумма амортизационных затрат на все контейнеры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составит: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8,6 руб. * 28 830 шт.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247 938,00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или 206 615,00 руб. без НДС 20 %)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6" w:name="_Toc59562323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Замена существующего </w:t>
      </w:r>
      <w:proofErr w:type="spellStart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спецавтортанспорта</w:t>
      </w:r>
      <w:bookmarkEnd w:id="16"/>
      <w:proofErr w:type="spellEnd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Национальной стратегии развития системы обращения с твердыми коммунальными отходами и вторичными материальными ресурсами в Республике Беларусь до 2025 года, весь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спецавтоторанспорт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боковой загрузкой по мере его износа необходимо заменить на мусоровозы с задней загрузкой.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Мусоровозы с задней загрузкой предназначены для механизированного сбора ТКО из контейнеров всех типов, их уплотнения, транспортирования, и механизированной выгрузки в местах утилизации.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Основные преимущества мусоровозов с задней загрузкой мусора: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опорожнение каждого контейнера занимает меньше времени, по сравнению с мусоровозами боковой загрузки;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могут быть адаптированы к различным видам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экологическая чистота. Низко расположенный бункер и конструкция контейнера практически исключают просыпание мусора при выгрузке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безопасная эксплуатация, так как нет никаких движущихся частей за пределами кузова мусоровоза;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простота в эксплуатации;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отходы могут загружаться как автоматически, так и вручную. В частном секторе мусор часто оставляют на обочинах в контейнерах или просто в пакетах. Мусоровоз с задней загрузкой может собирать такие пакеты на ходу;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коэффициент уплотнения мусора позволяет вывозить больший объем за один рейс.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существенных преимуществ мусоровозов с системой задней загрузки у них имеются и недостатки: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высокая цена по сравнению с мусоровозами с боковой загрузкой;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уровень уплотнения только в западных марках мусоровозов, которые в два раза дороже, чем российские/белорусские мусоровозы.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услуги по обращению с ТКО и ВМР осуществляет 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 располагает парком транспортных средств, предназначенных для перевозки ТКО и ВМР, а также для эксплуатации имеющихся объектов захоронения ТКО, включающим в себя 15 транспортных единиц (12 мусоровозов, 3 бульдозера).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К приобретению рекомендована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спецавтотехника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аналогичная по грузоподъемности уже имеющимся мусоровозам. В случае приобретения и 100% обеспечения частного сектора контейнерами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рекомендовано увеличение транспортных единиц согласно необходимым мощностям. Предлагаемые модели*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замены имеющегося автопарка представлены в таблице 12.</w:t>
      </w:r>
    </w:p>
    <w:p w:rsidR="003E6B4F" w:rsidRPr="003E6B4F" w:rsidRDefault="003E6B4F" w:rsidP="003E6B4F">
      <w:pPr>
        <w:spacing w:before="120"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12 – предлагаемые модели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замены и (или) дополнения имеющегося автопарка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замены*.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1418"/>
        <w:gridCol w:w="708"/>
        <w:gridCol w:w="1418"/>
        <w:gridCol w:w="1588"/>
        <w:gridCol w:w="1417"/>
      </w:tblGrid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lastRenderedPageBreak/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Вместимость кузова, м</w:t>
            </w: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Грузоподъемность,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Цена*,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Назначение</w:t>
            </w:r>
          </w:p>
        </w:tc>
      </w:tr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449 654,40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ВМР </w:t>
            </w:r>
          </w:p>
        </w:tc>
      </w:tr>
      <w:tr w:rsidR="003E6B4F" w:rsidRPr="003E6B4F" w:rsidTr="005C6E2F">
        <w:trPr>
          <w:jc w:val="center"/>
        </w:trPr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1 199 078,40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ТКО </w:t>
            </w:r>
          </w:p>
        </w:tc>
      </w:tr>
    </w:tbl>
    <w:p w:rsidR="003E6B4F" w:rsidRPr="003E6B4F" w:rsidRDefault="003E6B4F" w:rsidP="003E6B4F">
      <w:pPr>
        <w:pBdr>
          <w:bottom w:val="single" w:sz="12" w:space="1" w:color="auto"/>
        </w:pBd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* - Взято из открытых источников.</w:t>
      </w:r>
    </w:p>
    <w:p w:rsidR="003E6B4F" w:rsidRPr="003E6B4F" w:rsidRDefault="003E6B4F" w:rsidP="003E6B4F">
      <w:pPr>
        <w:spacing w:before="240" w:after="0" w:line="252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МАЗ-5904С2-012</w:t>
      </w:r>
    </w:p>
    <w:p w:rsidR="003E6B4F" w:rsidRPr="003E6B4F" w:rsidRDefault="003E6B4F" w:rsidP="003E6B4F">
      <w:pPr>
        <w:spacing w:after="12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Модель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(рисунок 11) предназначена для механизированной и ручной загрузки, уплотнения, транспортировки и выгрузки ТКО. Модель оснащена механизмом загрузки заднего типа и рекомендована для участия в процессе удаления ТКО и ВМР 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3"/>
          <w:szCs w:val="3"/>
          <w:lang w:val="be-BY"/>
        </w:rPr>
      </w:pP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>
            <wp:extent cx="2619375" cy="196215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Рисунок 11 – МАЗ-5904С2-012</w:t>
      </w:r>
    </w:p>
    <w:p w:rsidR="003E6B4F" w:rsidRPr="003E6B4F" w:rsidRDefault="003E6B4F" w:rsidP="003E6B4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приобретения рекомендованы мусоровозы модели МАЗ-5904С2-012 в количестве 11 шт., объемом </w:t>
      </w:r>
      <w:smartTag w:uri="urn:schemas-microsoft-com:office:smarttags" w:element="metricconverter">
        <w:smartTagPr>
          <w:attr w:name="ProductID" w:val="17 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17 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стоимостью 149 884,80 руб. На приобретение 11 единиц мусоровозов потребуется 1 648 732,80 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1 373 944,00 руб. без НДС 20 %).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714625" cy="247650"/>
            <wp:effectExtent l="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714625" cy="247650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руб.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20"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Стоимость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составляет порядка 149 884,8 руб. с НДС, а срок ее эксплуатации – ориентировочно 10 лет. Таким образом,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амортизационные затраты 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составят: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124 904,00 руб. / 10 лет = 12 490,40 руб. в год для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без НДС.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12 490,40. * 11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137 394,40 руб. 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без НДС 20 %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7" w:name="_Toc59562324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Перегрузочная станция</w:t>
      </w:r>
      <w:bookmarkEnd w:id="17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В районе планируется закрытие и передача на рекультивацию всех мини-полигонов и полигона, все отходы будут вывозиться централизованно на полигон перегрузочную станцию, находящуюся на территории действующего полигона ТКО. Таким образом, размещение мусоросортировочной линии оптимально на территории планируемой перегрузочной станции.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Помимо этого, необходимо учитывать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досортировочную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линию для раздельно собранных ВМР, которая так же будет располагаться на территории перегрузочной станции.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Цена строительства </w:t>
      </w:r>
      <w:smartTag w:uri="urn:schemas-microsoft-com:office:smarttags" w:element="metricconverter">
        <w:smartTagPr>
          <w:attr w:name="ProductID" w:val="1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1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ангара для перегрузочной станции составляет 150,00 бел. руб.*, принимая во внимание, что на территории ангара необходимо разместить зону выгрузки ТКО из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зону складирования ТКО перед ее отправкой на региональный полигон и зону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досортировки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раздельно собранных ВМР, оптимальная величина ангара будет составлять </w:t>
      </w:r>
      <w:smartTag w:uri="urn:schemas-microsoft-com:office:smarttags" w:element="metricconverter">
        <w:smartTagPr>
          <w:attr w:name="ProductID" w:val="450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450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или 30 × </w:t>
      </w:r>
      <w:smartTag w:uri="urn:schemas-microsoft-com:office:smarttags" w:element="metricconverter">
        <w:smartTagPr>
          <w:attr w:name="ProductID" w:val="15 м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15 м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. Исходя из этого, стоимость ангара для перегрузочной станции может составить ориентировочно 67 500,00 бел. руб.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Бетонная стяжка пола за </w:t>
      </w:r>
      <w:smartTag w:uri="urn:schemas-microsoft-com:office:smarttags" w:element="metricconverter">
        <w:smartTagPr>
          <w:attr w:name="ProductID" w:val="1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1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составляет 44,00 бел. руб.*, соответственно, бетонная стяжка </w:t>
      </w:r>
      <w:smartTag w:uri="urn:schemas-microsoft-com:office:smarttags" w:element="metricconverter">
        <w:smartTagPr>
          <w:attr w:name="ProductID" w:val="450 м2"/>
        </w:smartTagPr>
        <w:r w:rsidRPr="003E6B4F">
          <w:rPr>
            <w:rFonts w:ascii="Times New Roman" w:eastAsia="Times New Roman" w:hAnsi="Times New Roman" w:cs="Times New Roman"/>
            <w:sz w:val="28"/>
            <w:szCs w:val="28"/>
          </w:rPr>
          <w:t>450 м</w:t>
        </w:r>
        <w:r w:rsidRPr="003E6B4F">
          <w:rPr>
            <w:rFonts w:ascii="Times New Roman" w:eastAsia="Times New Roman" w:hAnsi="Times New Roman" w:cs="Times New Roman"/>
            <w:sz w:val="28"/>
            <w:szCs w:val="28"/>
            <w:vertAlign w:val="superscript"/>
          </w:rPr>
          <w:t>2</w:t>
        </w:r>
      </w:smartTag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составит ориентировочно 19 800,00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бел.руб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Для освещения такого помещения необходима установка светильных приборов (фонарей) в размере 8 шт. Цена 1 шт. фонаря приблизительно равна 900,00 бел. руб.*, таким образом стоимость осветительных приборов на весь ангар составит порядка 5 400,00 бел. руб.</w:t>
      </w:r>
    </w:p>
    <w:p w:rsidR="003E6B4F" w:rsidRPr="003E6B4F" w:rsidRDefault="003E6B4F" w:rsidP="003E6B4F">
      <w:pPr>
        <w:pBdr>
          <w:bottom w:val="single" w:sz="12" w:space="1" w:color="auto"/>
        </w:pBd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Принимая во внимание все вышеуказанное, стоимость строительства перегрузочной станции ориентировочно составит 92 700,00 бел. 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77 250,00 руб. без НДС 20 %).</w:t>
      </w:r>
    </w:p>
    <w:p w:rsidR="003E6B4F" w:rsidRPr="003E6B4F" w:rsidRDefault="003E6B4F" w:rsidP="003E6B4F">
      <w:pPr>
        <w:pBdr>
          <w:bottom w:val="single" w:sz="12" w:space="1" w:color="auto"/>
        </w:pBd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* - взято из открытых источников.</w:t>
      </w:r>
    </w:p>
    <w:p w:rsidR="003E6B4F" w:rsidRPr="003E6B4F" w:rsidRDefault="003E6B4F" w:rsidP="003E6B4F">
      <w:pPr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3E6B4F" w:rsidRPr="003E6B4F" w:rsidRDefault="003E6B4F" w:rsidP="003E6B4F">
      <w:pPr>
        <w:keepNext/>
        <w:keepLines/>
        <w:spacing w:after="0" w:line="254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8" w:name="_Toc59562325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Вариант 4 «Пластиковые контейнера, вывоз на полигон»</w:t>
      </w:r>
      <w:bookmarkEnd w:id="18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Вариант 4 настоящей схемы обращения с твердыми коммунальными отходами подразумевает замену контейнеров для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на пластиковые контейнера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Отказ от оборудования перегрузочной станции на территории действующего полигона ТКО г. Вилейка и следование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(мусоровозов) на региональный полигон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Вилейский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район, а также установку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мусоросортровочной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линии мощностью 5 000 тонн 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19" w:name="_Toc59562326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</w:rPr>
          <w:t>1,1 м</w:t>
        </w:r>
        <w:r w:rsidRPr="003E6B4F">
          <w:rPr>
            <w:rFonts w:ascii="Times New Roman" w:eastAsia="Calibri" w:hAnsi="Times New Roman" w:cs="Times New Roman"/>
            <w:b/>
            <w:bCs/>
            <w:sz w:val="28"/>
            <w:szCs w:val="28"/>
            <w:vertAlign w:val="superscript"/>
          </w:rPr>
          <w:t>3</w:t>
        </w:r>
      </w:smartTag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для сбора ТКО и ВМР</w:t>
      </w:r>
      <w:bookmarkEnd w:id="19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для сбора ТКО и ВМР объемом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необходимо заменить на контейнеры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это позволит беспрепятственно осуществлять загрузку контейнеров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задним механизмом загрузки, так же экономить пространство и время – так как 2 контейнера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по объему эквивалентны 3 контейнерам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0,75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>, а по габаритам существенно меньше.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 традиционно применяемых открытых контейнерах для ВМР 0,75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содержится высокий процент ненужных фракций, которые загрязняют ВМР. В итоге загрязненное вторсырье становится непригодным для дальнейшей переработки. Таким образом, контейнеры нового типа должны повысить качество собираемого вторичного сырья.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Пластиковые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обладают и рядом других немаловажных преимуществ: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евроконтейнеры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более прочные. На корпус такого контейнера при загрузке в мусоровоз практически не оказывается механическое воздействие, за счёт чего он сохраняет свою форму, внешний вид и может служить 7-10 лет и более;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экономическая выгода при обслуживании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евроконтейнеров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. Оцинкованные контейнеры не нужно регулярно красить, вывозятся они реже за счёт большей ёмкости;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эстетическая привлекательность. Контейнер сохраняет свою форму и внешний вид на протяжении всего периода эксплуатации. Обычные контейнеры с течением времени из-за особенностей загрузки в мусоровоз теряют свою форму и внешний вид;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низкие эксплуатационные расходы на сбор отходов;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мобильность. Контейнеры можно подкатить к загрузочному бункеру мусоровоза и не расходовать ресурс автомобиля на сложные манёвры;</w:t>
      </w:r>
    </w:p>
    <w:p w:rsidR="003E6B4F" w:rsidRPr="003E6B4F" w:rsidRDefault="003E6B4F" w:rsidP="003E6B4F">
      <w:pPr>
        <w:numPr>
          <w:ilvl w:val="0"/>
          <w:numId w:val="2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 xml:space="preserve">привлекательный внешний вид. Симпатичные разноцветные контейнеры совершенно не портят внешний вид придомовых территорий.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замены стандартных контейнеров рассматриваются контейнеры, приспособленные к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спецавтотранспорту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манипулятором задней загрузки, характеристики контейнеров представлены в таблице 13.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13 -Характеристики новых контейнеров для ТКО и ВМР*.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5"/>
        <w:gridCol w:w="3539"/>
      </w:tblGrid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Параметр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Контейнер </w:t>
            </w: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</w:rPr>
                <w:t>1,1 м</w:t>
              </w:r>
              <w:r w:rsidRPr="003E6B4F">
                <w:rPr>
                  <w:rFonts w:ascii="Times New Roman" w:eastAsia="Times New Roman" w:hAnsi="Times New Roman" w:cs="Times New Roman"/>
                  <w:b/>
                  <w:sz w:val="24"/>
                  <w:szCs w:val="24"/>
                  <w:vertAlign w:val="superscript"/>
                </w:rPr>
                <w:t>3</w:t>
              </w:r>
            </w:smartTag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для ТКО и ВМР</w:t>
            </w:r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Пластик</w:t>
            </w:r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Габариты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1370×1344×1070</w:t>
            </w:r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Грузоподъемность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1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510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Собственная масса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50 кг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50 кг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1,1 м3"/>
              </w:smartTagPr>
              <w:r w:rsidRPr="003E6B4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1,1 м3</w:t>
              </w:r>
            </w:smartTag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Дополнительно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Колеса на резине, снабжены тормозом</w:t>
            </w:r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Срок эксплуатации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 лет</w:t>
            </w:r>
          </w:p>
        </w:tc>
      </w:tr>
      <w:tr w:rsidR="003E6B4F" w:rsidRPr="003E6B4F" w:rsidTr="005C6E2F">
        <w:trPr>
          <w:jc w:val="center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hang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570,00р. с НДС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Примеры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 и ВМР приведены на рисунке 12.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524125" cy="2524125"/>
            <wp:effectExtent l="0" t="0" r="9525" b="9525"/>
            <wp:docPr id="7" name="Рисунок 7" descr="Описание: C:\Users\Nastya\Desktop\1100ese-500x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 descr="Описание: C:\Users\Nastya\Desktop\1100ese-500x500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2524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Рисунок 12 – Внешний вид пластикового контейнера 0,66 и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ТКО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Замена стандартных контейнеров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будет проводится на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евроконтейнера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объемом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Для приобретения рекомендуется приобретение 383 контейнера для сбора ТКО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814 контейнера для раздельного и смешанного сбора ВМР 1,1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 Количество контейнеров для ТКО может изменяться и дополняться в соответствии с потребностью каждой конкретной площадки.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Общая стоимость пластиковых контейнеров, рекомендованных к приобретению равна 682 610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,00 руб. (или 568 841,67 руб. без НДС 20 %)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и рассчитывается путем суммации общей стоимости всех контейнеров ТКО и ВМР (1).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(1)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218 630,00 +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463 980,00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682 610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,00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 руб. 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общ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контейнеров, рекомендованных к приобретению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Стоимость пластиковых контейнеров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ТКО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(2) составляет 218 310,00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181 925,00 руб. без НДС 20 %)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(2)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383 × 570,00 = 218 310 руб. 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ТКО,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количество контейнеров для ТКО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тко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ТКО (из открытых источников).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случае приобретения пластиковых контейнеров, стоимость контейнеров </w:t>
      </w:r>
      <w:smartTag w:uri="urn:schemas-microsoft-com:office:smarttags" w:element="metricconverter">
        <w:smartTagPr>
          <w:attr w:name="ProductID" w:val="1.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1.1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ВМР для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(3) составляет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463 980,00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386 650,00 руб. без НДС 20 %)</w:t>
      </w:r>
    </w:p>
    <w:p w:rsidR="003E6B4F" w:rsidRPr="003E6B4F" w:rsidRDefault="003E6B4F" w:rsidP="003E6B4F">
      <w:pPr>
        <w:spacing w:before="120" w:after="120"/>
        <w:ind w:firstLine="851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(3)</w:t>
      </w:r>
    </w:p>
    <w:p w:rsidR="003E6B4F" w:rsidRPr="003E6B4F" w:rsidRDefault="003E6B4F" w:rsidP="003E6B4F">
      <w:pPr>
        <w:spacing w:before="120" w:after="120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814 × 570,00 = 463 980,00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общая стоимость контейнеров для ВМР,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вмр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для ВМР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Св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мр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для ВМР (из открытых источников).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ТКО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570,00 руб. / 7лет = 81,43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383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81,43 руб. * 383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31 187,69 руб.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Амортизационные затраты на контейнеры ВМР составят: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570,00 руб. / 7лет = 81,43 руб. – годовые амортизационные затраты на 1 контейнер ТКО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Всего в районе будет располагаться порядка 814 контейнеров для ТКО, следовательно: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81,43 руб. * 814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66 284,02 руб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>. – годовые амортизационные затраты.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Сумма годовых амортизационных затрат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контейнеры объемом 1,1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равна: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31 187,69 руб. + 66 284,02 руб.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97 471,71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>или 81 226,43 руб. без НДС 20 %)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Новые контейнеры </w:t>
      </w:r>
      <w:smartTag w:uri="urn:schemas-microsoft-com:office:smarttags" w:element="metricconverter">
        <w:smartTagPr>
          <w:attr w:name="ProductID" w:val="1,1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1,1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смены стандартных контейнеров должны соответствовать требованиям действующего законодательства и методическим рекомендациям, утвержденных приказом Министерства жилищно-коммунального хозяйства Республики Беларусь от 21.12.2010 года № 194 и Пункту 19 Главы 2 постановления Министерства здравоохранения Республики Беларусь от 1 ноября 2011г. № 110 «Об утверждении Санитарных норм, правил и гигиенических нормативов «Гигиенические требования к содержанию территорий населенных пунктов и организаций».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 тому же контейнеры объёма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0,75 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подлежащие замене и утилизации можно сдать на металлолом. Так как вес одного контейнера составляет порядка </w:t>
      </w:r>
      <w:smartTag w:uri="urn:schemas-microsoft-com:office:smarttags" w:element="metricconverter">
        <w:smartTagPr>
          <w:attr w:name="ProductID" w:val="60 кг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  <w:lang w:eastAsia="ru-RU"/>
          </w:rPr>
          <w:t>60 кг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., а тариф на приём металлолома составляет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lastRenderedPageBreak/>
        <w:t>0,18 руб./кг, за сдачу контейнеров можно выручить порядка 4 633,20 руб. (Таблица 14).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Количество контейнеров объемом </w:t>
      </w:r>
      <w:smartTag w:uri="urn:schemas-microsoft-com:office:smarttags" w:element="metricconverter">
        <w:smartTagPr>
          <w:attr w:name="ProductID" w:val="0,75 м3"/>
        </w:smartTagP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lang w:eastAsia="ru-RU"/>
          </w:rPr>
          <w:t>0,75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</w:rPr>
          <w:t xml:space="preserve"> м</w:t>
        </w:r>
        <w:r w:rsidRPr="003E6B4F">
          <w:rPr>
            <w:rFonts w:ascii="Times New Roman" w:eastAsia="Times New Roman" w:hAnsi="Times New Roman" w:cs="Times New Roman"/>
            <w:color w:val="000000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 xml:space="preserve">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списанных при замене их на контейнеры 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объемом 1,1 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на контейнерных площадках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района составляет 429 шт.</w:t>
      </w: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Таблица 14 – Выгода от сдачи на металлолом контейнеров объёма 0,75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  <w:lang w:eastAsia="ru-RU"/>
        </w:rPr>
        <w:t>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80"/>
        <w:gridCol w:w="1525"/>
        <w:gridCol w:w="2629"/>
        <w:gridCol w:w="2929"/>
      </w:tblGrid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Количество контейнеров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Вес, кг.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Тариф за сдачу, р/кг.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Стоимость сдачи металлолома, руб.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2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be-BY" w:eastAsia="ru-RU"/>
              </w:rPr>
              <w:t>4</w:t>
            </w:r>
          </w:p>
        </w:tc>
      </w:tr>
      <w:tr w:rsidR="003E6B4F" w:rsidRPr="003E6B4F" w:rsidTr="005C6E2F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60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0,18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val="be-BY" w:eastAsia="ru-RU"/>
              </w:rPr>
              <w:t>4 633,20</w:t>
            </w:r>
          </w:p>
        </w:tc>
      </w:tr>
    </w:tbl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0" w:name="_Toc59562327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Контейнеры объемом 0,12 м</w:t>
      </w:r>
      <w:r w:rsidRPr="003E6B4F">
        <w:rPr>
          <w:rFonts w:ascii="Times New Roman" w:eastAsia="Calibri" w:hAnsi="Times New Roman" w:cs="Times New Roman"/>
          <w:b/>
          <w:bCs/>
          <w:sz w:val="28"/>
          <w:szCs w:val="28"/>
          <w:vertAlign w:val="superscript"/>
        </w:rPr>
        <w:t>3</w:t>
      </w:r>
      <w:bookmarkEnd w:id="20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осуществления раздельного сбора отходов в частном секторе района рекомендовано снабдить физические лица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отходов, не подлежащих переработке (ТКО), и 1 контейнером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смешанных ВМР (Рисунок 13).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3667125" cy="2752725"/>
            <wp:effectExtent l="0" t="0" r="9525" b="9525"/>
            <wp:docPr id="6" name="Рисунок 6" descr="Описание: Описание: G:\Фоменок\1 Перспективное развитие\Этап III Сценарии\Наработки\0,12 м3 контейн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 descr="Описание: Описание: G:\Фоменок\1 Перспективное развитие\Этап III Сценарии\Наработки\0,12 м3 контейнер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  <w:vertAlign w:val="superscript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Рисунок 13 – Внешний вид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Такие контейнеры оптимально подходят для физических лиц, так как обладают небольшими объемами, что позволяет с легкостью их транспортировать в пределах участков, а также облегчает их загрузку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спецавтотранспорт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, при этом данного объема достаточно для накопления отходов и заявочного их удаления без образования неприятных запахов, и начала процессов разложения. Характеристики таких контейнеров представлены в таблице 15.</w:t>
      </w:r>
    </w:p>
    <w:p w:rsidR="003E6B4F" w:rsidRPr="003E6B4F" w:rsidRDefault="003E6B4F" w:rsidP="003E6B4F">
      <w:pPr>
        <w:spacing w:before="120" w:after="12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Таблица 15 – Характеристики контейнеров </w:t>
      </w:r>
      <w:smartTag w:uri="urn:schemas-microsoft-com:office:smarttags" w:element="metricconverter">
        <w:smartTagPr>
          <w:attr w:name="ProductID" w:val="0,12 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0,12 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для сбора ТКО и ВМР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2"/>
        <w:gridCol w:w="4394"/>
      </w:tblGrid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Характеристики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Значения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Размер, мм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480×553×975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Объем, 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Максимальная нагрузка, кг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3E6B4F" w:rsidRPr="003E6B4F" w:rsidTr="005C6E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Цена, руб.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ind w:firstLine="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E6B4F">
        <w:rPr>
          <w:rFonts w:ascii="Times New Roman" w:eastAsia="Times New Roman" w:hAnsi="Times New Roman" w:cs="Times New Roman"/>
          <w:sz w:val="24"/>
          <w:szCs w:val="24"/>
        </w:rPr>
        <w:t>* - взято из открытых источников.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схеме обращения с коммунальными отходами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необходима расстановка 28 830 контейнеров для сбора смешанных ТКО и ВМР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Таким образом, сумма, необходимая для приобретения такого количества контейнеров (4) составляет 1 729 800,00 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1 441 500,00 руб. без НДС 20 %)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:</w:t>
      </w:r>
    </w:p>
    <w:p w:rsidR="003E6B4F" w:rsidRPr="003E6B4F" w:rsidRDefault="003E6B4F" w:rsidP="003E6B4F">
      <w:pPr>
        <w:tabs>
          <w:tab w:val="left" w:pos="4335"/>
        </w:tabs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1514475" cy="1714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  <w:r w:rsidRPr="003E6B4F">
        <w:rPr>
          <w:rFonts w:ascii="Times New Roman" w:eastAsia="Times New Roman" w:hAnsi="Times New Roman" w:cs="Times New Roman"/>
          <w:b/>
          <w:sz w:val="30"/>
          <w:szCs w:val="30"/>
        </w:rPr>
        <w:t>(4)</w:t>
      </w:r>
    </w:p>
    <w:p w:rsidR="003E6B4F" w:rsidRPr="003E6B4F" w:rsidRDefault="003E6B4F" w:rsidP="003E6B4F">
      <w:pPr>
        <w:spacing w:before="120" w:after="12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28 830× 60,00 = 1 729 800,00 руб.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Где: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Σ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общая стоимость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к приобретению;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Ν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 xml:space="preserve">0,12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- количество контейнеров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, рекомендованных для приобретения;</w:t>
      </w:r>
    </w:p>
    <w:p w:rsidR="003E6B4F" w:rsidRPr="003E6B4F" w:rsidRDefault="003E6B4F" w:rsidP="003E6B4F">
      <w:pPr>
        <w:spacing w:after="0"/>
        <w:ind w:firstLine="851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С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0,12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- стоимость одного контейнера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(из открытых источников).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Контейнеры объемом 0,12 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предлагается выдавать на основе безвозмездного пользования.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Амортизационные затраты на 1 контейнер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составляют: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60 руб. / 7 лет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8,6 руб.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Сумма амортизационных затрат на все контейнеры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ТКО или ВМР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составит: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8,6 руб. * 28 830 шт.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247 938,00 руб. </w:t>
      </w:r>
      <w:r w:rsidRPr="003E6B4F">
        <w:rPr>
          <w:rFonts w:ascii="Times New Roman" w:eastAsia="Times New Roman" w:hAnsi="Times New Roman" w:cs="Times New Roman"/>
          <w:i/>
          <w:sz w:val="30"/>
          <w:szCs w:val="30"/>
        </w:rPr>
        <w:t>(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или 206 615 руб. без НДС 20 %)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keepNext/>
        <w:keepLines/>
        <w:spacing w:before="200" w:after="0" w:line="252" w:lineRule="auto"/>
        <w:outlineLvl w:val="1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1" w:name="_Toc59562328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Замена существующего </w:t>
      </w:r>
      <w:proofErr w:type="spellStart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спецавтортанспорта</w:t>
      </w:r>
      <w:bookmarkEnd w:id="21"/>
      <w:proofErr w:type="spellEnd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Согласно Национальной стратегии развития системы обращения с твердыми коммунальными отходами и вторичными материальными ресурсами в Республике Беларусь до 2025 года, весь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>спецавтоторанспорт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 боковой загрузкой по мере его износа необходимо заменить на мусоровозы с задней загрузкой.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Мусоровозы с задней загрузкой предназначены для механизированного сбора ТКО из контейнеров всех типов, их уплотнения, транспортирования, и механизированной выгрузки в местах утилизации.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Основные преимущества мусоровозов с задней загрузкой мусора: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опорожнение каждого контейнера занимает меньше времени, по сравнению с мусоровозами боковой загрузки;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могут быть адаптированы к различным видам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экологическая чистота. Низко расположенный бункер и конструкция контейнера практически исключают просыпание мусора при выгрузке контейнеров;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безопасная эксплуатация, так как нет никаких движущихся частей за пределами кузова мусоровоза;</w:t>
      </w:r>
    </w:p>
    <w:p w:rsidR="003E6B4F" w:rsidRPr="003E6B4F" w:rsidRDefault="003E6B4F" w:rsidP="003E6B4F">
      <w:pPr>
        <w:numPr>
          <w:ilvl w:val="0"/>
          <w:numId w:val="4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простота в эксплуатации;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отходы могут загружаться как автоматически, так и вручную. В частном секторе мусор часто оставляют на обочинах в контейнерах или просто в пакетах. Мусоровоз с задней загрузкой может собирать такие пакеты на ходу;</w:t>
      </w:r>
    </w:p>
    <w:p w:rsidR="003E6B4F" w:rsidRPr="003E6B4F" w:rsidRDefault="003E6B4F" w:rsidP="003E6B4F">
      <w:pPr>
        <w:numPr>
          <w:ilvl w:val="0"/>
          <w:numId w:val="6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коэффициент уплотнения мусора позволяет вывозить больший объем за один рейс.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Кроме существенных преимуществ мусоровозов с системой задней загрузки у них имеются и недостатки: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высокая цена по сравнению с мусоровозами с боковой загрузкой;</w:t>
      </w:r>
    </w:p>
    <w:p w:rsidR="003E6B4F" w:rsidRPr="003E6B4F" w:rsidRDefault="003E6B4F" w:rsidP="003E6B4F">
      <w:pPr>
        <w:numPr>
          <w:ilvl w:val="0"/>
          <w:numId w:val="8"/>
        </w:numPr>
        <w:spacing w:after="0" w:line="252" w:lineRule="auto"/>
        <w:ind w:firstLine="426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более высокий уровень уплотнения только в западных марках мусоровозов, которые в два раза дороже, чем российские/белорусские мусоровозы.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услуги по обращению с ТКО и ВМР осуществляет 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ГУП «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Вилейское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ЖКХ» располагает парком транспортных средств, предназначенных для перевозки ТКО и ВМР, а также для эксплуатации имеющихся объектов захоронения ТКО, включающим в себя 15 транспортных единиц (12 мусоровозов, 3 бульдозера).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случае прямого вывоза ТКО на территорию регионального полигона ТКО в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Молодечненском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районе, маршрут каждого мусоровоза увеличится на </w:t>
      </w:r>
      <w:smartTag w:uri="urn:schemas-microsoft-com:office:smarttags" w:element="metricconverter">
        <w:smartTagPr>
          <w:attr w:name="ProductID" w:val="17 км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17 км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, а следовательно на 50 минут в обе стороны,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принимая во внимание ориентировочное время для разгрузки (30 мин.), рабочее время 1 мусоровоза увеличится на 1 час 20 минут. В пересчете на 11 мусоровозов, осуществляющих услуги по вывозу ТКО, общее рабочее время увеличится на 14 часов и 40 минут. Таким образом, в результате отказа от строительства перегрузочной станции, возникает необходимость приобретения еще 2х дополнительных единиц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спецатотехники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К приобретению рекомендована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спецавтотехника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аналогичная по грузоподъемности уже имеющимся мусоровозам. В случае приобретения и 100% обеспечения частного сектора контейнерами объемом 0,12 м</w:t>
      </w:r>
      <w:r w:rsidRPr="003E6B4F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, рекомендовано увеличение транспортных единиц согласно необходимым мощностям. Предлагаемые модели*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замены имеющегося автопарка представлены в таблице 16.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Таблица 16 – предлагаемые модели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для замены и (или) дополнения имеющегося автопарка замены*.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9"/>
        <w:gridCol w:w="1134"/>
        <w:gridCol w:w="1418"/>
        <w:gridCol w:w="708"/>
        <w:gridCol w:w="1418"/>
        <w:gridCol w:w="1588"/>
        <w:gridCol w:w="1417"/>
      </w:tblGrid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Вместимость кузова, м</w:t>
            </w: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Грузоподъемность, кг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Кол-во,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Цена*,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Назначение</w:t>
            </w:r>
          </w:p>
        </w:tc>
      </w:tr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7</w:t>
            </w:r>
          </w:p>
        </w:tc>
      </w:tr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449 654,40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ВМР </w:t>
            </w:r>
          </w:p>
        </w:tc>
      </w:tr>
      <w:tr w:rsidR="003E6B4F" w:rsidRPr="003E6B4F" w:rsidTr="005C6E2F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7 300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149 884,8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1 199 078,40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Удаление ТКО </w:t>
            </w:r>
          </w:p>
        </w:tc>
      </w:tr>
    </w:tbl>
    <w:p w:rsidR="003E6B4F" w:rsidRPr="003E6B4F" w:rsidRDefault="003E6B4F" w:rsidP="003E6B4F">
      <w:pPr>
        <w:pBdr>
          <w:bottom w:val="single" w:sz="12" w:space="1" w:color="auto"/>
        </w:pBd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* - Взято из открытых источников.</w:t>
      </w:r>
    </w:p>
    <w:p w:rsidR="003E6B4F" w:rsidRPr="003E6B4F" w:rsidRDefault="003E6B4F" w:rsidP="003E6B4F">
      <w:pPr>
        <w:spacing w:before="240" w:after="0" w:line="252" w:lineRule="auto"/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МАЗ-5904С2-012</w:t>
      </w:r>
    </w:p>
    <w:p w:rsidR="003E6B4F" w:rsidRPr="003E6B4F" w:rsidRDefault="003E6B4F" w:rsidP="003E6B4F">
      <w:pPr>
        <w:spacing w:after="12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Модель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(рисунок 14) предназначена для механизированной и ручной загрузки, уплотнения, транспортировки и выгрузки ТКО. Модель оснащена механизмом загрузки заднего типа и рекомендована для участия в процессе удаления ТКО и ВМР на территории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3"/>
          <w:szCs w:val="3"/>
          <w:lang w:val="be-BY"/>
        </w:rPr>
      </w:pP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eastAsia="ru-RU"/>
        </w:rPr>
        <w:lastRenderedPageBreak/>
        <w:drawing>
          <wp:inline distT="0" distB="0" distL="0" distR="0">
            <wp:extent cx="2457450" cy="19050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>Рисунок 14 – МАЗ-5904С2-012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Для приобретения рекомендованы мусоровозы модели МАЗ-5904С2-012 в количестве 11 шт., объемом </w:t>
      </w:r>
      <w:smartTag w:uri="urn:schemas-microsoft-com:office:smarttags" w:element="metricconverter">
        <w:smartTagPr>
          <w:attr w:name="ProductID" w:val="17 м3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17 м</w:t>
        </w:r>
        <w:r w:rsidRPr="003E6B4F">
          <w:rPr>
            <w:rFonts w:ascii="Times New Roman" w:eastAsia="Times New Roman" w:hAnsi="Times New Roman" w:cs="Times New Roman"/>
            <w:sz w:val="30"/>
            <w:szCs w:val="30"/>
            <w:vertAlign w:val="superscript"/>
          </w:rPr>
          <w:t>3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и стоимостью 149 884,80 руб. На приобретение 11 единиц мусоровозов потребуется 1 648 732,80 руб.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</w:rPr>
        <w:t>(или 1 373 944,00 руб. без НДС 20 %).</w:t>
      </w: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begin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QUOTE </w:instrText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686050" cy="247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instrText xml:space="preserve"> </w:instrText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separate"/>
      </w:r>
      <w:r>
        <w:rPr>
          <w:rFonts w:ascii="Calibri" w:eastAsia="Times New Roman" w:hAnsi="Calibri" w:cs="Times New Roman"/>
          <w:noProof/>
          <w:lang w:eastAsia="ru-RU"/>
        </w:rPr>
        <w:drawing>
          <wp:inline distT="0" distB="0" distL="0" distR="0">
            <wp:extent cx="2686050" cy="2476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6B4F">
        <w:rPr>
          <w:rFonts w:ascii="Times New Roman" w:eastAsia="Times New Roman" w:hAnsi="Times New Roman" w:cs="Times New Roman"/>
          <w:sz w:val="30"/>
          <w:szCs w:val="30"/>
        </w:rPr>
        <w:fldChar w:fldCharType="end"/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руб.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before="120"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Стоимость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составляет порядка 149 884,8 руб. с НДС, а срок ее эксплуатации – ориентировочно 10 лет. Таким образом,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амортизационные затраты </w:t>
      </w: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спецавтотехнику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составят:</w:t>
      </w:r>
    </w:p>
    <w:p w:rsidR="003E6B4F" w:rsidRPr="003E6B4F" w:rsidRDefault="003E6B4F" w:rsidP="003E6B4F">
      <w:pPr>
        <w:kinsoku w:val="0"/>
        <w:overflowPunct w:val="0"/>
        <w:autoSpaceDE w:val="0"/>
        <w:autoSpaceDN w:val="0"/>
        <w:adjustRightInd w:val="0"/>
        <w:spacing w:after="0" w:line="200" w:lineRule="atLeast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124 904,00 руб. / 10 лет = 12 490,40 руб. в год для 1 единицы </w:t>
      </w:r>
      <w:proofErr w:type="spellStart"/>
      <w:r w:rsidRPr="003E6B4F">
        <w:rPr>
          <w:rFonts w:ascii="Times New Roman" w:eastAsia="Times New Roman" w:hAnsi="Times New Roman" w:cs="Times New Roman"/>
          <w:sz w:val="28"/>
          <w:szCs w:val="28"/>
        </w:rPr>
        <w:t>спецавтотехники</w:t>
      </w:r>
      <w:proofErr w:type="spellEnd"/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 без НДС.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t xml:space="preserve">12 490,40. * 11 =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 xml:space="preserve">137 394,40 руб. </w:t>
      </w:r>
      <w:r w:rsidRPr="003E6B4F">
        <w:rPr>
          <w:rFonts w:ascii="Times New Roman" w:eastAsia="Times New Roman" w:hAnsi="Times New Roman" w:cs="Times New Roman"/>
          <w:i/>
          <w:color w:val="000000"/>
          <w:sz w:val="30"/>
          <w:szCs w:val="30"/>
        </w:rPr>
        <w:t xml:space="preserve">без НДС 20 % </w:t>
      </w:r>
      <w:r w:rsidRPr="003E6B4F">
        <w:rPr>
          <w:rFonts w:ascii="Times New Roman" w:eastAsia="Times New Roman" w:hAnsi="Times New Roman" w:cs="Times New Roman"/>
          <w:i/>
          <w:sz w:val="28"/>
          <w:szCs w:val="28"/>
        </w:rPr>
        <w:t>в год.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3E6B4F" w:rsidRPr="003E6B4F" w:rsidRDefault="003E6B4F" w:rsidP="003E6B4F">
      <w:pPr>
        <w:keepNext/>
        <w:keepLines/>
        <w:spacing w:before="240" w:after="240" w:line="240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2" w:name="_Toc59562329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Расчёт эффективности проекта</w:t>
      </w:r>
      <w:bookmarkEnd w:id="22"/>
    </w:p>
    <w:p w:rsidR="003E6B4F" w:rsidRPr="003E6B4F" w:rsidRDefault="003E6B4F" w:rsidP="003E6B4F">
      <w:pPr>
        <w:keepNext/>
        <w:keepLines/>
        <w:spacing w:before="120" w:after="120" w:line="240" w:lineRule="auto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3" w:name="_Toc10019471"/>
      <w:bookmarkStart w:id="24" w:name="_Toc59562330"/>
      <w:bookmarkStart w:id="25" w:name="_Toc39761841"/>
      <w:bookmarkStart w:id="26" w:name="_Toc17715641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Эксплуатационные затраты</w:t>
      </w:r>
      <w:bookmarkEnd w:id="23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на реализацию проекта</w:t>
      </w:r>
      <w:bookmarkEnd w:id="24"/>
      <w:bookmarkEnd w:id="25"/>
      <w:bookmarkEnd w:id="26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Для осуществления экономического расчета эффективности проекта, помимо инвестиционных затрат, необходимо учесть затраты, возникающие в процессе обращения с ТКО и ВМР (далее – эксплуатационные затраты).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эксплуатационные затраты включены затраты по вывозу мусора, затраты на сортировку и захоронение отходов, также учтены общепроизводственные и общехозяйственные расходы.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Затраты по вывозу мусора включают:</w:t>
      </w:r>
    </w:p>
    <w:p w:rsidR="003E6B4F" w:rsidRPr="003E6B4F" w:rsidRDefault="003E6B4F" w:rsidP="003E6B4F">
      <w:pPr>
        <w:numPr>
          <w:ilvl w:val="0"/>
          <w:numId w:val="10"/>
        </w:numPr>
        <w:spacing w:after="0" w:line="252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расходы на топливо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val="en-US" w:eastAsia="ru-RU"/>
        </w:rPr>
        <w:t>;</w:t>
      </w:r>
    </w:p>
    <w:p w:rsidR="003E6B4F" w:rsidRPr="003E6B4F" w:rsidRDefault="003E6B4F" w:rsidP="003E6B4F">
      <w:pPr>
        <w:numPr>
          <w:ilvl w:val="0"/>
          <w:numId w:val="10"/>
        </w:num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 xml:space="preserve">расходы на технический ремонт и обслуживание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спец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val="be-BY" w:eastAsia="ru-RU"/>
        </w:rPr>
        <w:t>транспорта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Расходы на топливо рассчитаны исходя из маршрутного графика вывоза ТКО в </w:t>
      </w:r>
      <w:proofErr w:type="spellStart"/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Вилейском</w:t>
      </w:r>
      <w:proofErr w:type="spellEnd"/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районе. В расчётах учтены маршруты вывоза от многоквартирной застройки и индивидуальной застройки.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Среднемесячный километраж спецтранспорта по вариантам 1 и 3 составит 21 480,0 км. или 257 760,0 км в год.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Расчет затрат на топливо для спецтранспорта представлен в таблице 18.</w:t>
      </w:r>
    </w:p>
    <w:p w:rsidR="003E6B4F" w:rsidRPr="003E6B4F" w:rsidRDefault="003E6B4F" w:rsidP="003E6B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18 – Затраты на топливо для спецтранспорта по вариантам 1 и 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2"/>
        <w:gridCol w:w="3264"/>
      </w:tblGrid>
      <w:tr w:rsidR="003E6B4F" w:rsidRPr="003E6B4F" w:rsidTr="005C6E2F">
        <w:trPr>
          <w:trHeight w:val="20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6B4F" w:rsidRPr="003E6B4F" w:rsidTr="005C6E2F">
        <w:trPr>
          <w:trHeight w:val="20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топлива (дизельное)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/л) (на 6.05.2020)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1,78</w:t>
            </w:r>
          </w:p>
        </w:tc>
      </w:tr>
      <w:tr w:rsidR="003E6B4F" w:rsidRPr="003E6B4F" w:rsidTr="005C6E2F">
        <w:trPr>
          <w:trHeight w:val="308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Средний расход топлива (дизельное), л/100 км*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</w:t>
            </w:r>
          </w:p>
        </w:tc>
      </w:tr>
      <w:tr w:rsidR="003E6B4F" w:rsidRPr="003E6B4F" w:rsidTr="005C6E2F">
        <w:trPr>
          <w:trHeight w:val="21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Затраты топлива, 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50 520,96</w:t>
            </w:r>
          </w:p>
        </w:tc>
      </w:tr>
      <w:tr w:rsidR="003E6B4F" w:rsidRPr="003E6B4F" w:rsidTr="005C6E2F">
        <w:trPr>
          <w:trHeight w:val="21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Затраты на топливо, руб. (с НДС)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89 927,31</w:t>
            </w:r>
          </w:p>
        </w:tc>
      </w:tr>
      <w:tr w:rsidR="003E6B4F" w:rsidRPr="003E6B4F" w:rsidTr="005C6E2F">
        <w:trPr>
          <w:trHeight w:val="21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Затраты на топливо, руб. (без НДС)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74 393,43</w:t>
            </w:r>
          </w:p>
        </w:tc>
      </w:tr>
    </w:tbl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Среднемесячный километраж спецтранспорта по вариантам 2 и 4 с учетом проезда до мусоросортировочного комплекса туда и обратно составит 27 480,00 км или 329 760,0 км в год.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Расчет затрат на топливо для спецтранспорта представлен в таблице 19.</w:t>
      </w:r>
    </w:p>
    <w:p w:rsidR="003E6B4F" w:rsidRPr="003E6B4F" w:rsidRDefault="003E6B4F" w:rsidP="003E6B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19 – Затраты на топливо для спецтранспорта по вариантам 2 и 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092"/>
        <w:gridCol w:w="3264"/>
      </w:tblGrid>
      <w:tr w:rsidR="003E6B4F" w:rsidRPr="003E6B4F" w:rsidTr="005C6E2F">
        <w:trPr>
          <w:trHeight w:val="20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E6B4F" w:rsidRPr="003E6B4F" w:rsidTr="005C6E2F">
        <w:trPr>
          <w:trHeight w:val="200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Стоимость топлива (дизельное)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руб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/л) (на 6.05.2020)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1,78</w:t>
            </w:r>
          </w:p>
        </w:tc>
      </w:tr>
      <w:tr w:rsidR="003E6B4F" w:rsidRPr="003E6B4F" w:rsidTr="005C6E2F">
        <w:trPr>
          <w:trHeight w:val="308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Средний расход топлива (дизельное), л/100 км*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19,60</w:t>
            </w:r>
          </w:p>
        </w:tc>
      </w:tr>
      <w:tr w:rsidR="003E6B4F" w:rsidRPr="003E6B4F" w:rsidTr="005C6E2F">
        <w:trPr>
          <w:trHeight w:val="21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Затраты топлива, л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64 632,96</w:t>
            </w:r>
          </w:p>
        </w:tc>
      </w:tr>
      <w:tr w:rsidR="003E6B4F" w:rsidRPr="003E6B4F" w:rsidTr="005C6E2F">
        <w:trPr>
          <w:trHeight w:val="21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Затраты на топливо, руб. (с НДС)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cyan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115 046,67</w:t>
            </w:r>
          </w:p>
        </w:tc>
      </w:tr>
      <w:tr w:rsidR="003E6B4F" w:rsidRPr="003E6B4F" w:rsidTr="005C6E2F">
        <w:trPr>
          <w:trHeight w:val="216"/>
        </w:trPr>
        <w:tc>
          <w:tcPr>
            <w:tcW w:w="6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Arial Unicode MS" w:hAnsi="Times New Roman" w:cs="Times New Roman"/>
                <w:color w:val="222222"/>
                <w:sz w:val="24"/>
                <w:szCs w:val="24"/>
                <w:lang w:eastAsia="ru-RU"/>
              </w:rPr>
              <w:t>Затраты на топливо, руб. (без НДС)</w:t>
            </w:r>
          </w:p>
        </w:tc>
        <w:tc>
          <w:tcPr>
            <w:tcW w:w="3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95 872,23</w:t>
            </w:r>
          </w:p>
        </w:tc>
      </w:tr>
    </w:tbl>
    <w:p w:rsidR="003E6B4F" w:rsidRPr="003E6B4F" w:rsidRDefault="003E6B4F" w:rsidP="003E6B4F">
      <w:pPr>
        <w:widowControl w:val="0"/>
        <w:autoSpaceDE w:val="0"/>
        <w:autoSpaceDN w:val="0"/>
        <w:adjustRightInd w:val="0"/>
        <w:spacing w:before="120"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eastAsia="ru-RU"/>
        </w:rPr>
        <w:lastRenderedPageBreak/>
        <w:t xml:space="preserve">Стоимость топлива принята на уровне 1,78 рублей за литр по состоянию на 15.05.2020 и в дальнейшем используется для расчёта на этом уровне, в связи с невозможностью прогнозирования дальнейшего изменения показателя по годам. Расход топлива на </w:t>
      </w:r>
      <w:smartTag w:uri="urn:schemas-microsoft-com:office:smarttags" w:element="metricconverter">
        <w:smartTagPr>
          <w:attr w:name="ProductID" w:val="100 км"/>
        </w:smartTagPr>
        <w:r w:rsidRPr="003E6B4F">
          <w:rPr>
            <w:rFonts w:ascii="Times New Roman" w:eastAsia="Calibri" w:hAnsi="Times New Roman" w:cs="Times New Roman"/>
            <w:sz w:val="30"/>
            <w:szCs w:val="30"/>
            <w:lang w:eastAsia="ru-RU"/>
          </w:rPr>
          <w:t>100 км</w:t>
        </w:r>
      </w:smartTag>
      <w:r w:rsidRPr="003E6B4F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рассчитан исходя из усреднённой нормы расхода по используемым единицам спецтранспорта.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Таким образом, ежегодные затраты на топливо по вариантам 1 и 3 составят порядка 89 927,31 рублей (с НДС) и 74 393,43 рублей (без НДС). 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eastAsia="ru-RU"/>
        </w:rPr>
        <w:t>Ежегодные затраты на топливо по вариантам 2 и 4 составят порядка 115 046,67 рублей (с НДС) и 95 872,23 рублей (без НДС).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Расходы на технический ремонт и обслуживание спецтранспорта посчитаны по методике приведенной в Приказе Министерства транспорта и коммуникаций Республики Беларусь от 19 июля 2012 года № 391-Ц «Об утверждении рекомендаций по установлению норм времени на единицу транспортной работы, норм </w:t>
      </w:r>
      <w:r w:rsidRPr="003E6B4F">
        <w:rPr>
          <w:rFonts w:ascii="Times New Roman" w:eastAsia="Calibri" w:hAnsi="Times New Roman" w:cs="Times New Roman"/>
          <w:sz w:val="30"/>
          <w:szCs w:val="30"/>
          <w:lang w:val="be-BY"/>
        </w:rPr>
        <w:t>затрат на техническое обслуживание и ремонт автомобильных транспортных средств» (в ред. приказов Минтранса от 18.07.2014 № 279-Ц, от 29.03.2017 № 99-Ц).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По случаю отсутствия утвержденной нормы на техническое обслуживание и ремонт марки транспортного средства приобретаемого для вывоза отходов была применена усреднённая норма по марке (модели) транспортного средства, наиболее соответствующей по техническим характеристикам выбранному транспортному средству (МАЗ-533702). 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20 – Безразмерные коэффициенты, принятые для расчёта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A0" w:firstRow="1" w:lastRow="0" w:firstColumn="1" w:lastColumn="0" w:noHBand="0" w:noVBand="0"/>
      </w:tblPr>
      <w:tblGrid>
        <w:gridCol w:w="2608"/>
        <w:gridCol w:w="850"/>
        <w:gridCol w:w="5898"/>
      </w:tblGrid>
      <w:tr w:rsidR="003E6B4F" w:rsidRPr="003E6B4F" w:rsidTr="005C6E2F">
        <w:trPr>
          <w:trHeight w:val="273"/>
        </w:trPr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Марка (модель) автомобильного транспортного средства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Статьи затрат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Диапазон пробега с начала эксплуатации, тыс. км</w:t>
            </w:r>
          </w:p>
        </w:tc>
      </w:tr>
      <w:tr w:rsidR="003E6B4F" w:rsidRPr="003E6B4F" w:rsidTr="005C6E2F">
        <w:trPr>
          <w:trHeight w:val="54"/>
        </w:trPr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101 - 300</w:t>
            </w:r>
          </w:p>
        </w:tc>
      </w:tr>
      <w:tr w:rsidR="003E6B4F" w:rsidRPr="003E6B4F" w:rsidTr="005C6E2F">
        <w:trPr>
          <w:trHeight w:val="54"/>
        </w:trPr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</w:tr>
      <w:tr w:rsidR="003E6B4F" w:rsidRPr="003E6B4F" w:rsidTr="005C6E2F">
        <w:tc>
          <w:tcPr>
            <w:tcW w:w="26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МАЗ-533702-КС-3579, -КО-806 специальные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ЗП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167,2</w:t>
            </w:r>
          </w:p>
        </w:tc>
      </w:tr>
      <w:tr w:rsidR="003E6B4F" w:rsidRPr="003E6B4F" w:rsidTr="005C6E2F">
        <w:trPr>
          <w:trHeight w:val="208"/>
        </w:trPr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МЗ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103,01</w:t>
            </w:r>
          </w:p>
        </w:tc>
      </w:tr>
      <w:tr w:rsidR="003E6B4F" w:rsidRPr="003E6B4F" w:rsidTr="005C6E2F">
        <w:tc>
          <w:tcPr>
            <w:tcW w:w="26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5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62" w:type="dxa"/>
              <w:bottom w:w="28" w:type="dxa"/>
              <w:right w:w="62" w:type="dxa"/>
            </w:tcMar>
            <w:vAlign w:val="center"/>
          </w:tcPr>
          <w:p w:rsidR="003E6B4F" w:rsidRPr="003E6B4F" w:rsidRDefault="003E6B4F" w:rsidP="003E6B4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4,83</w:t>
            </w:r>
          </w:p>
        </w:tc>
      </w:tr>
    </w:tbl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Расчёт затрат на техническое обслуживание и ремонт транспортных средств для вариантов 1 и 3 представлен в таблице 21.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21 – Затраты на техническое обслуживание и ремонт транспортных средств по вариантам 1 и 3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0"/>
        <w:gridCol w:w="3386"/>
      </w:tblGrid>
      <w:tr w:rsidR="003E6B4F" w:rsidRPr="003E6B4F" w:rsidTr="005C6E2F">
        <w:trPr>
          <w:trHeight w:val="412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Статья затрат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Сумма, руб.</w:t>
            </w:r>
          </w:p>
        </w:tc>
      </w:tr>
      <w:tr w:rsidR="003E6B4F" w:rsidRPr="003E6B4F" w:rsidTr="005C6E2F">
        <w:trPr>
          <w:trHeight w:val="412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3E6B4F" w:rsidRPr="003E6B4F" w:rsidTr="005C6E2F">
        <w:trPr>
          <w:trHeight w:val="832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заработную плату рабочих, занятых техническим обслуживанием и ремонтом автомобильных транспортных средств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зп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19 824,84</w:t>
            </w:r>
          </w:p>
        </w:tc>
      </w:tr>
      <w:tr w:rsidR="003E6B4F" w:rsidRPr="003E6B4F" w:rsidTr="005C6E2F">
        <w:trPr>
          <w:trHeight w:val="276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материальные затраты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мз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28 144,97</w:t>
            </w:r>
          </w:p>
        </w:tc>
      </w:tr>
      <w:tr w:rsidR="003E6B4F" w:rsidRPr="003E6B4F" w:rsidTr="005C6E2F">
        <w:trPr>
          <w:trHeight w:val="139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смазочные материалы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3 593,20</w:t>
            </w:r>
          </w:p>
        </w:tc>
      </w:tr>
      <w:tr w:rsidR="003E6B4F" w:rsidRPr="003E6B4F" w:rsidTr="005C6E2F">
        <w:trPr>
          <w:trHeight w:val="285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51 562,81</w:t>
            </w:r>
          </w:p>
        </w:tc>
      </w:tr>
    </w:tbl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cyan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ЗП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167,2 × 0,46 (257760/1000) = 19 824,84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cyan"/>
          <w:lang w:val="be-BY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;</w:t>
      </w: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МЗ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103,01 ×1,06 (257760/1000) = 28 144,97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см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74 393,43 × 4,83/100 = 3 593,20</w:t>
      </w:r>
    </w:p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Расчёт затрат на техническое обслуживание и ремонт транспортных средств для вариантов 2 и 4 представлен в таблице 22.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22 – Затраты на техническое обслуживание и ремонт транспортных средств по вариантам 2 и 4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70"/>
        <w:gridCol w:w="3386"/>
      </w:tblGrid>
      <w:tr w:rsidR="003E6B4F" w:rsidRPr="003E6B4F" w:rsidTr="005C6E2F">
        <w:trPr>
          <w:trHeight w:val="412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Статья затрат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Сумма, руб.</w:t>
            </w:r>
          </w:p>
        </w:tc>
      </w:tr>
      <w:tr w:rsidR="003E6B4F" w:rsidRPr="003E6B4F" w:rsidTr="005C6E2F">
        <w:trPr>
          <w:trHeight w:val="412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3E6B4F" w:rsidRPr="003E6B4F" w:rsidTr="005C6E2F">
        <w:trPr>
          <w:trHeight w:val="832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заработную плату рабочих, занятых техническим обслуживанием и ремонтом автомобильных транспортных средств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зп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25 362,50</w:t>
            </w:r>
          </w:p>
        </w:tc>
      </w:tr>
      <w:tr w:rsidR="003E6B4F" w:rsidRPr="003E6B4F" w:rsidTr="005C6E2F">
        <w:trPr>
          <w:trHeight w:val="276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материальные затраты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мз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36 006,69</w:t>
            </w:r>
          </w:p>
        </w:tc>
      </w:tr>
      <w:tr w:rsidR="003E6B4F" w:rsidRPr="003E6B4F" w:rsidTr="005C6E2F">
        <w:trPr>
          <w:trHeight w:val="139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смазочные материалы (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  <w:lang w:eastAsia="ru-RU"/>
              </w:rPr>
              <w:t>см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4 630,63</w:t>
            </w:r>
          </w:p>
        </w:tc>
      </w:tr>
      <w:tr w:rsidR="003E6B4F" w:rsidRPr="003E6B4F" w:rsidTr="005C6E2F">
        <w:trPr>
          <w:trHeight w:val="285"/>
        </w:trPr>
        <w:tc>
          <w:tcPr>
            <w:tcW w:w="5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ind w:firstLine="34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85" w:type="dxa"/>
              <w:bottom w:w="0" w:type="dxa"/>
              <w:right w:w="85" w:type="dxa"/>
            </w:tcMar>
            <w:vAlign w:val="center"/>
          </w:tcPr>
          <w:p w:rsidR="003E6B4F" w:rsidRPr="003E6B4F" w:rsidRDefault="003E6B4F" w:rsidP="003E6B4F">
            <w:pPr>
              <w:spacing w:before="100" w:beforeAutospacing="1"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65 999,82</w:t>
            </w:r>
          </w:p>
        </w:tc>
      </w:tr>
    </w:tbl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cyan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ЗП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167,2 × 0,46 (329 760,0/1000) = 25 362,50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cyan"/>
          <w:lang w:val="be-BY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b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;</w:t>
      </w: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 xml:space="preserve"> </w:t>
      </w: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lastRenderedPageBreak/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МЗ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103,01 ×1,06 (329 760,0/1000) = 36 006,69</w:t>
      </w:r>
    </w:p>
    <w:p w:rsidR="003E6B4F" w:rsidRPr="003E6B4F" w:rsidRDefault="003E6B4F" w:rsidP="003E6B4F">
      <w:pPr>
        <w:spacing w:after="16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; </w:t>
      </w: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3E6B4F" w:rsidRPr="003E6B4F" w:rsidRDefault="003E6B4F" w:rsidP="003E6B4F">
      <w:pPr>
        <w:spacing w:after="160" w:line="252" w:lineRule="auto"/>
        <w:ind w:firstLine="709"/>
        <w:jc w:val="center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val="en-US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</w:rPr>
        <w:t>см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 = 95 872,23 × 4,83/100 = 4 630,63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где 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val="be-BY" w:eastAsia="ru-RU"/>
        </w:rPr>
      </w:pP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зп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мз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,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S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bscript"/>
          <w:lang w:eastAsia="ru-RU"/>
        </w:rPr>
        <w:t>см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– суммы затрат по соответствующим статьям затрат;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ЗП, МЗ, СМ – соответственно нормы по статьям на </w:t>
      </w:r>
      <w:smartTag w:uri="urn:schemas-microsoft-com:office:smarttags" w:element="metricconverter">
        <w:smartTagPr>
          <w:attr w:name="ProductID" w:val="1000 км"/>
        </w:smartTagPr>
        <w:r w:rsidRPr="003E6B4F">
          <w:rPr>
            <w:rFonts w:ascii="Times New Roman" w:eastAsia="Calibri" w:hAnsi="Times New Roman" w:cs="Times New Roman"/>
            <w:sz w:val="30"/>
            <w:szCs w:val="30"/>
            <w:lang w:val="be-BY"/>
          </w:rPr>
          <w:t>1000 км</w:t>
        </w:r>
      </w:smartTag>
      <w:r w:rsidRPr="003E6B4F">
        <w:rPr>
          <w:rFonts w:ascii="Times New Roman" w:eastAsia="Calibri" w:hAnsi="Times New Roman" w:cs="Times New Roman"/>
          <w:sz w:val="30"/>
          <w:szCs w:val="30"/>
          <w:lang w:val="be-BY"/>
        </w:rPr>
        <w:t xml:space="preserve"> пробега;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val="be-BY"/>
        </w:rPr>
        <w:t>СТ – часовая тарифная ставка рабочего первого разряда, действующая в организации, руб.;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val="be-BY"/>
        </w:rPr>
        <w:t>L – планируемый пробег, км;</w:t>
      </w:r>
    </w:p>
    <w:p w:rsidR="003E6B4F" w:rsidRPr="003E6B4F" w:rsidRDefault="003E6B4F" w:rsidP="003E6B4F">
      <w:pPr>
        <w:widowControl w:val="0"/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Calibri" w:hAnsi="Times New Roman" w:cs="Times New Roman"/>
          <w:sz w:val="30"/>
          <w:szCs w:val="30"/>
          <w:lang w:val="be-BY"/>
        </w:rPr>
        <w:t>ИЦ – индекс цен производителей промышленной продукции производственно-технического назначения;</w:t>
      </w:r>
    </w:p>
    <w:p w:rsidR="003E6B4F" w:rsidRPr="003E6B4F" w:rsidRDefault="003E6B4F" w:rsidP="003E6B4F">
      <w:pPr>
        <w:spacing w:after="0" w:line="252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ЗТ – затраты на топливо, руб.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Исходя из принятых норм, а также планируемого пробега спецтранспорта, планируемые затраты на техническое обслуживание и ремонт транспортных средств по вариантам 1 и 3 составят 51 562,81 рублей, по вариантам 2 и 4 составят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65 999,82 рублей.</w:t>
      </w:r>
    </w:p>
    <w:p w:rsidR="003E6B4F" w:rsidRPr="003E6B4F" w:rsidRDefault="003E6B4F" w:rsidP="003E6B4F">
      <w:pPr>
        <w:spacing w:before="100" w:beforeAutospacing="1"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sz w:val="30"/>
          <w:szCs w:val="30"/>
          <w:lang w:eastAsia="ru-RU"/>
        </w:rPr>
        <w:t>Затраты на сортировку отходов включают стоимость электроэнергии, затрачиваемой при работе мусоросортировочной станции, предполагаемые затраты представлены в таблице 23. Время работы станции рассчитано исходя из количества рабочих дней в 2020 году и восьмичасового рабочего дня.</w:t>
      </w:r>
    </w:p>
    <w:p w:rsidR="003E6B4F" w:rsidRPr="003E6B4F" w:rsidRDefault="003E6B4F" w:rsidP="003E6B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23 – Затраты на электроэнергию при сортировке отходов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3402"/>
        <w:gridCol w:w="2552"/>
      </w:tblGrid>
      <w:tr w:rsidR="003E6B4F" w:rsidRPr="003E6B4F" w:rsidTr="005C6E2F">
        <w:trPr>
          <w:trHeight w:val="26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Мощность линии, кВт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Тарифы на электроэнергию, руб.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3E6B4F" w:rsidRPr="003E6B4F" w:rsidTr="005C6E2F">
        <w:trPr>
          <w:trHeight w:val="26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E6B4F" w:rsidRPr="003E6B4F" w:rsidTr="005C6E2F">
        <w:trPr>
          <w:trHeight w:val="261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0,209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9 180,01</w:t>
            </w:r>
          </w:p>
        </w:tc>
      </w:tr>
    </w:tbl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cyan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Затраты на заработную плату основных рабочих были рассчитаны исходя из среднемесячной номинальной начисленной заработной платы по предприятию за 2019 год. </w:t>
      </w:r>
    </w:p>
    <w:p w:rsidR="003E6B4F" w:rsidRPr="003E6B4F" w:rsidRDefault="003E6B4F" w:rsidP="003E6B4F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таблице 24 приведены годовые затраты на оплату труда основных рабочих, а также отчисления в фонд социальной защиты населения 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Белгосстрах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по вариантам 1 и 3.</w:t>
      </w:r>
    </w:p>
    <w:p w:rsidR="003E6B4F" w:rsidRPr="003E6B4F" w:rsidRDefault="003E6B4F" w:rsidP="003E6B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24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 – Годовые затраты на оплату труда по вариантам 1 и 3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560"/>
        <w:gridCol w:w="2551"/>
        <w:gridCol w:w="1843"/>
      </w:tblGrid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Средняя заработная плата,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Итого, руб.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8 668,00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Сортировщик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1 576,00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8 668,00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месяц,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18 912,00</w:t>
            </w:r>
          </w:p>
        </w:tc>
      </w:tr>
      <w:tr w:rsidR="003E6B4F" w:rsidRPr="003E6B4F" w:rsidTr="005C6E2F">
        <w:trPr>
          <w:trHeight w:val="7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год,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226 944,00</w:t>
            </w:r>
          </w:p>
        </w:tc>
      </w:tr>
      <w:tr w:rsidR="003E6B4F" w:rsidRPr="003E6B4F" w:rsidTr="005C6E2F">
        <w:trPr>
          <w:trHeight w:val="36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Отчисления от заработной платы, 34,6 %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78 522,62</w:t>
            </w:r>
          </w:p>
        </w:tc>
      </w:tr>
      <w:tr w:rsidR="003E6B4F" w:rsidRPr="003E6B4F" w:rsidTr="005C6E2F">
        <w:trPr>
          <w:trHeight w:val="19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затраты на оплату труда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305 466,62</w:t>
            </w:r>
          </w:p>
        </w:tc>
      </w:tr>
    </w:tbl>
    <w:p w:rsidR="003E6B4F" w:rsidRPr="003E6B4F" w:rsidRDefault="003E6B4F" w:rsidP="003E6B4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 таблице 25 приведены годовые затраты на оплату труда основных рабочих, а также отчисления в фонд социальной защиты населения 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Белгосстрах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по вариантам 2 и 4.</w:t>
      </w:r>
    </w:p>
    <w:p w:rsidR="003E6B4F" w:rsidRPr="003E6B4F" w:rsidRDefault="003E6B4F" w:rsidP="003E6B4F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25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 – Годовые затраты на оплату труда по вариантам 2 и 4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402"/>
        <w:gridCol w:w="1560"/>
        <w:gridCol w:w="2551"/>
        <w:gridCol w:w="1843"/>
      </w:tblGrid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Средняя заработная плата,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Итого, руб.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788,0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8 668,00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Сортировщик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1 576,00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Грузчик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8 668,00</w:t>
            </w:r>
          </w:p>
        </w:tc>
      </w:tr>
      <w:tr w:rsidR="003E6B4F" w:rsidRPr="003E6B4F" w:rsidTr="005C6E2F">
        <w:trPr>
          <w:trHeight w:val="18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месяц, руб.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18 912,00</w:t>
            </w:r>
          </w:p>
        </w:tc>
      </w:tr>
      <w:tr w:rsidR="003E6B4F" w:rsidRPr="003E6B4F" w:rsidTr="005C6E2F">
        <w:trPr>
          <w:trHeight w:val="77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год, руб.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226 944,00</w:t>
            </w:r>
          </w:p>
        </w:tc>
      </w:tr>
      <w:tr w:rsidR="003E6B4F" w:rsidRPr="003E6B4F" w:rsidTr="005C6E2F">
        <w:trPr>
          <w:trHeight w:val="360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Отчисления от заработной платы, 34,6 %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78 522,62</w:t>
            </w:r>
          </w:p>
        </w:tc>
      </w:tr>
      <w:tr w:rsidR="003E6B4F" w:rsidRPr="003E6B4F" w:rsidTr="005C6E2F">
        <w:trPr>
          <w:trHeight w:val="199"/>
          <w:jc w:val="center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затраты на оплату труда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ind w:firstLine="34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305 466,62</w:t>
            </w:r>
          </w:p>
        </w:tc>
      </w:tr>
    </w:tbl>
    <w:p w:rsidR="003E6B4F" w:rsidRPr="003E6B4F" w:rsidRDefault="003E6B4F" w:rsidP="003E6B4F">
      <w:pPr>
        <w:spacing w:before="120"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общие ежегодные эксплуатационные затраты на реализацию вариантов 1 и 3 проекта без учёта общепроизводственных и общехозяйственных расходов по первому варианту составят 428 422,86 рубля, с учетом общепроизводственных и общехозяйственных расходов – 544 097,032 рублей.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Таким образом, общие ежегодные эксплуатационные затраты на реализацию вариантов 2 и 4 проекта без учёта общепроизводственных и общехозяйственных расходов по первому варианту составят 467 338,67 рубля, с учетом общепроизводственных и общехозяйственных расходов – 593 520,11 рублей.</w:t>
      </w:r>
    </w:p>
    <w:p w:rsidR="003E6B4F" w:rsidRPr="003E6B4F" w:rsidRDefault="003E6B4F" w:rsidP="003E6B4F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E6B4F">
        <w:rPr>
          <w:rFonts w:ascii="Times New Roman" w:eastAsia="Times New Roman" w:hAnsi="Times New Roman" w:cs="Times New Roman"/>
          <w:sz w:val="28"/>
          <w:szCs w:val="28"/>
        </w:rPr>
        <w:br w:type="page"/>
      </w:r>
    </w:p>
    <w:p w:rsidR="003E6B4F" w:rsidRPr="003E6B4F" w:rsidRDefault="003E6B4F" w:rsidP="003E6B4F">
      <w:pPr>
        <w:keepNext/>
        <w:keepLines/>
        <w:spacing w:before="120" w:after="120" w:line="252" w:lineRule="auto"/>
        <w:outlineLvl w:val="2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7" w:name="_Toc59562331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Выручка от реализации проекта</w:t>
      </w:r>
      <w:bookmarkEnd w:id="27"/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Выручка по проекту включает в себя выручку от реализации услуг по вывозу, обезвреживанию и переработке ТКО, а также выручку за сдачу извлеченных ВМР в процессе использования мусоросортировочной станции.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При расчёте выручки от реализации услуг по вывозу, обезвреживанию и переработке твердых коммунальных отходов использовался плановый показатель образования отходов на 2020 год – 98,3 тыс. 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. Тариф за оплату коммунальных услуг взят на уровне тарифа за вывоз и захоронение ТКО для населения из жилых домов, не оборудованных функционирующим мусоропроводом, или оборудованных функционирующим мусоропроводом, субсидируемый государством (8,6019 (без НДС),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руб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>/м</w:t>
      </w:r>
      <w:r w:rsidRPr="003E6B4F">
        <w:rPr>
          <w:rFonts w:ascii="Times New Roman" w:eastAsia="Times New Roman" w:hAnsi="Times New Roman" w:cs="Times New Roman"/>
          <w:sz w:val="30"/>
          <w:szCs w:val="30"/>
          <w:vertAlign w:val="superscript"/>
        </w:rPr>
        <w:t>3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). 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cyan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Умножив тариф на объём образованных отходов получим размер платежей за услуги по вывозу, обезвреживанию и переработке твердых коммунальных отходов –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845 566,77 руб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t>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highlight w:val="yellow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Также следует учесть, что ЖКХ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получает компенсацию затрат по сбору ВМР от государственного учреждения «Оператор вторичных материальных ресурсов» в соответствии с Постановление Совета Министров Республики Беларусь от 31.12.2019 № 960 «Об установлении на 2019 год размеров расходования средств компенсации юридическим лицам и индивидуальным предпринимателям расходов по сбору отходов товаров и отходов упаковки и внесении изменений в постановление Совета Министров Республики Беларусь от 31 июля </w:t>
      </w:r>
      <w:smartTag w:uri="urn:schemas-microsoft-com:office:smarttags" w:element="metricconverter">
        <w:smartTagPr>
          <w:attr w:name="ProductID" w:val="2012 г"/>
        </w:smartTagPr>
        <w:r w:rsidRPr="003E6B4F">
          <w:rPr>
            <w:rFonts w:ascii="Times New Roman" w:eastAsia="Times New Roman" w:hAnsi="Times New Roman" w:cs="Times New Roman"/>
            <w:sz w:val="30"/>
            <w:szCs w:val="30"/>
          </w:rPr>
          <w:t>2012 г</w:t>
        </w:r>
      </w:smartTag>
      <w:r w:rsidRPr="003E6B4F">
        <w:rPr>
          <w:rFonts w:ascii="Times New Roman" w:eastAsia="Times New Roman" w:hAnsi="Times New Roman" w:cs="Times New Roman"/>
          <w:sz w:val="30"/>
          <w:szCs w:val="30"/>
        </w:rPr>
        <w:t>. № 708.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Таблица 26 –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 xml:space="preserve"> Объём возмещения затрат по сбору ВМР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84"/>
        <w:gridCol w:w="2392"/>
        <w:gridCol w:w="2393"/>
        <w:gridCol w:w="2287"/>
      </w:tblGrid>
      <w:tr w:rsidR="003E6B4F" w:rsidRPr="003E6B4F" w:rsidTr="005C6E2F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ВМР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Объёмы (расчетные), тонн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Размер возмещения, руб. за тонну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Сумма, руб.</w:t>
            </w:r>
          </w:p>
        </w:tc>
      </w:tr>
      <w:tr w:rsidR="003E6B4F" w:rsidRPr="003E6B4F" w:rsidTr="005C6E2F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</w:p>
        </w:tc>
      </w:tr>
      <w:tr w:rsidR="003E6B4F" w:rsidRPr="003E6B4F" w:rsidTr="005C6E2F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Макулатура 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478,55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43 069,50</w:t>
            </w:r>
          </w:p>
        </w:tc>
      </w:tr>
      <w:tr w:rsidR="003E6B4F" w:rsidRPr="003E6B4F" w:rsidTr="005C6E2F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Стеклобой</w:t>
            </w:r>
            <w:proofErr w:type="spellEnd"/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456,75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63 945,00</w:t>
            </w:r>
          </w:p>
        </w:tc>
      </w:tr>
      <w:tr w:rsidR="003E6B4F" w:rsidRPr="003E6B4F" w:rsidTr="005C6E2F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ПЭТ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454,30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150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68 145,00</w:t>
            </w:r>
          </w:p>
        </w:tc>
      </w:tr>
      <w:tr w:rsidR="003E6B4F" w:rsidRPr="003E6B4F" w:rsidTr="005C6E2F"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/>
              <w:rPr>
                <w:rFonts w:ascii="Calibri" w:eastAsia="Times New Roman" w:hAnsi="Calibri" w:cs="Times New Roman"/>
                <w:lang w:val="be-BY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175 159,50</w:t>
            </w:r>
          </w:p>
        </w:tc>
      </w:tr>
    </w:tbl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 xml:space="preserve">Таким образом, объёмы возмещения затрат предприятия по сбору ВМР ориентировочно могут составить на будущие года 175 159,50 рублей. </w:t>
      </w:r>
    </w:p>
    <w:p w:rsidR="003E6B4F" w:rsidRPr="003E6B4F" w:rsidRDefault="003E6B4F" w:rsidP="003E6B4F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Рассчитаем доход предприятия от установки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досортировочной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станции.</w:t>
      </w:r>
    </w:p>
    <w:p w:rsidR="003E6B4F" w:rsidRPr="003E6B4F" w:rsidRDefault="003E6B4F" w:rsidP="003E6B4F">
      <w:pPr>
        <w:spacing w:after="0" w:line="254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Ожидаемая масса образования отходов по группам, рассчитанная на основании ранее проведённого исследования представлена в таблице 27. Процент извлечения ВМР из раздельно собранных ВМР, поступающих на линию </w:t>
      </w:r>
      <w:proofErr w:type="spellStart"/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досортировки</w:t>
      </w:r>
      <w:proofErr w:type="spellEnd"/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принят на уровне 70 %.</w:t>
      </w:r>
    </w:p>
    <w:p w:rsidR="003E6B4F" w:rsidRPr="003E6B4F" w:rsidRDefault="003E6B4F" w:rsidP="003E6B4F">
      <w:pPr>
        <w:spacing w:before="120" w:after="0" w:line="252" w:lineRule="auto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Таблица 27 – </w:t>
      </w:r>
      <w:r w:rsidRPr="003E6B4F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softHyphen/>
        <w:t xml:space="preserve"> Ожидаемая масса образования ВМР по группам отходов</w:t>
      </w:r>
    </w:p>
    <w:tbl>
      <w:tblPr>
        <w:tblW w:w="7636" w:type="dxa"/>
        <w:jc w:val="center"/>
        <w:tblLook w:val="00A0" w:firstRow="1" w:lastRow="0" w:firstColumn="1" w:lastColumn="0" w:noHBand="0" w:noVBand="0"/>
      </w:tblPr>
      <w:tblGrid>
        <w:gridCol w:w="3536"/>
        <w:gridCol w:w="2126"/>
        <w:gridCol w:w="1974"/>
      </w:tblGrid>
      <w:tr w:rsidR="003E6B4F" w:rsidRPr="003E6B4F" w:rsidTr="005C6E2F">
        <w:trPr>
          <w:trHeight w:val="385"/>
          <w:jc w:val="center"/>
        </w:trPr>
        <w:tc>
          <w:tcPr>
            <w:tcW w:w="7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Ожидаемые массы образования ВМР на период 2020-2025 гг.</w:t>
            </w:r>
          </w:p>
        </w:tc>
      </w:tr>
      <w:tr w:rsidR="003E6B4F" w:rsidRPr="003E6B4F" w:rsidTr="005C6E2F">
        <w:trPr>
          <w:trHeight w:val="405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ВМР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Тонны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% извлечения, тонн</w:t>
            </w:r>
          </w:p>
        </w:tc>
      </w:tr>
      <w:tr w:rsidR="003E6B4F" w:rsidRPr="003E6B4F" w:rsidTr="005C6E2F">
        <w:trPr>
          <w:trHeight w:val="207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3E6B4F" w:rsidRPr="003E6B4F" w:rsidTr="005C6E2F">
        <w:trPr>
          <w:trHeight w:val="300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652,50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456,75</w:t>
            </w:r>
          </w:p>
        </w:tc>
      </w:tr>
      <w:tr w:rsidR="003E6B4F" w:rsidRPr="003E6B4F" w:rsidTr="005C6E2F">
        <w:trPr>
          <w:trHeight w:val="300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683,64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478,55</w:t>
            </w:r>
          </w:p>
        </w:tc>
      </w:tr>
      <w:tr w:rsidR="003E6B4F" w:rsidRPr="003E6B4F" w:rsidTr="005C6E2F">
        <w:trPr>
          <w:trHeight w:val="300"/>
          <w:jc w:val="center"/>
        </w:trPr>
        <w:tc>
          <w:tcPr>
            <w:tcW w:w="3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Полимеры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649,00</w:t>
            </w:r>
          </w:p>
        </w:tc>
        <w:tc>
          <w:tcPr>
            <w:tcW w:w="19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454,3</w:t>
            </w:r>
          </w:p>
        </w:tc>
      </w:tr>
    </w:tbl>
    <w:p w:rsidR="003E6B4F" w:rsidRPr="003E6B4F" w:rsidRDefault="003E6B4F" w:rsidP="003E6B4F">
      <w:pPr>
        <w:spacing w:before="120" w:after="12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С учётом стоимость сдачи извлечённых ВМР получим следующую выручку (таблица 218).</w:t>
      </w:r>
    </w:p>
    <w:p w:rsidR="003E6B4F" w:rsidRPr="003E6B4F" w:rsidRDefault="003E6B4F" w:rsidP="003E6B4F">
      <w:pPr>
        <w:spacing w:after="0" w:line="252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18 –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 Показатели выручки от сдачи ВМР</w:t>
      </w:r>
    </w:p>
    <w:tbl>
      <w:tblPr>
        <w:tblW w:w="79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8"/>
        <w:gridCol w:w="1985"/>
        <w:gridCol w:w="1843"/>
        <w:gridCol w:w="1559"/>
      </w:tblGrid>
      <w:tr w:rsidR="003E6B4F" w:rsidRPr="003E6B4F" w:rsidTr="005C6E2F">
        <w:trPr>
          <w:trHeight w:val="300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ВМР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Объём извлечения, тонн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Цена сдачи без НДС, 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Сумма, руб.</w:t>
            </w:r>
          </w:p>
        </w:tc>
      </w:tr>
      <w:tr w:rsidR="003E6B4F" w:rsidRPr="003E6B4F" w:rsidTr="005C6E2F">
        <w:trPr>
          <w:trHeight w:val="300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Стекло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456,75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45 675,00</w:t>
            </w:r>
          </w:p>
        </w:tc>
      </w:tr>
      <w:tr w:rsidR="003E6B4F" w:rsidRPr="003E6B4F" w:rsidTr="005C6E2F">
        <w:trPr>
          <w:trHeight w:val="300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Бумага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478,55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47 855,00</w:t>
            </w:r>
          </w:p>
        </w:tc>
      </w:tr>
      <w:tr w:rsidR="003E6B4F" w:rsidRPr="003E6B4F" w:rsidTr="005C6E2F">
        <w:trPr>
          <w:trHeight w:val="300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Полимеры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454,30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90 860,00</w:t>
            </w:r>
          </w:p>
        </w:tc>
      </w:tr>
      <w:tr w:rsidR="003E6B4F" w:rsidRPr="003E6B4F" w:rsidTr="005C6E2F">
        <w:trPr>
          <w:trHeight w:val="185"/>
          <w:jc w:val="center"/>
        </w:trPr>
        <w:tc>
          <w:tcPr>
            <w:tcW w:w="2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E6B4F" w:rsidRPr="003E6B4F" w:rsidRDefault="003E6B4F" w:rsidP="003E6B4F">
            <w:pPr>
              <w:spacing w:after="0"/>
              <w:rPr>
                <w:rFonts w:ascii="Calibri" w:eastAsia="Times New Roman" w:hAnsi="Calibri" w:cs="Times New Roman"/>
                <w:lang w:val="be-BY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184 390,00</w:t>
            </w:r>
          </w:p>
        </w:tc>
      </w:tr>
    </w:tbl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В результате произведенных расчётов получены следующие доходы от реализации проекта (таблица 29).</w:t>
      </w:r>
    </w:p>
    <w:p w:rsidR="003E6B4F" w:rsidRPr="003E6B4F" w:rsidRDefault="003E6B4F" w:rsidP="003E6B4F">
      <w:pPr>
        <w:spacing w:before="120" w:after="0" w:line="252" w:lineRule="auto"/>
        <w:jc w:val="both"/>
        <w:rPr>
          <w:rFonts w:ascii="Times New Roman" w:eastAsia="Times New Roman" w:hAnsi="Times New Roman" w:cs="Times New Roman"/>
          <w:sz w:val="30"/>
          <w:szCs w:val="30"/>
          <w:lang w:val="be-BY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29 – </w:t>
      </w:r>
      <w:r w:rsidRPr="003E6B4F">
        <w:rPr>
          <w:rFonts w:ascii="Times New Roman" w:eastAsia="Times New Roman" w:hAnsi="Times New Roman" w:cs="Times New Roman"/>
          <w:sz w:val="30"/>
          <w:szCs w:val="30"/>
        </w:rPr>
        <w:softHyphen/>
        <w:t xml:space="preserve"> Доходы от реализации проекта </w:t>
      </w:r>
    </w:p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12"/>
        <w:gridCol w:w="3544"/>
      </w:tblGrid>
      <w:tr w:rsidR="003E6B4F" w:rsidRPr="003E6B4F" w:rsidTr="005C6E2F">
        <w:trPr>
          <w:trHeight w:val="35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Выручка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Сумма, руб.</w:t>
            </w:r>
          </w:p>
        </w:tc>
      </w:tr>
      <w:tr w:rsidR="003E6B4F" w:rsidRPr="003E6B4F" w:rsidTr="005C6E2F">
        <w:trPr>
          <w:trHeight w:val="35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</w:tc>
      </w:tr>
      <w:tr w:rsidR="003E6B4F" w:rsidRPr="003E6B4F" w:rsidTr="005C6E2F">
        <w:trPr>
          <w:trHeight w:val="35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От сдачи отсортированных отходов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184 390,00</w:t>
            </w:r>
          </w:p>
        </w:tc>
      </w:tr>
      <w:tr w:rsidR="003E6B4F" w:rsidRPr="003E6B4F" w:rsidTr="005C6E2F">
        <w:trPr>
          <w:trHeight w:val="359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Компенсация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175 159,50</w:t>
            </w:r>
          </w:p>
        </w:tc>
      </w:tr>
      <w:tr w:rsidR="003E6B4F" w:rsidRPr="003E6B4F" w:rsidTr="005C6E2F">
        <w:trPr>
          <w:trHeight w:val="270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Платежи за услуги по вывозу, обезвреживанию и переработке ТКО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845 566,77</w:t>
            </w:r>
          </w:p>
        </w:tc>
      </w:tr>
      <w:tr w:rsidR="003E6B4F" w:rsidRPr="003E6B4F" w:rsidTr="005C6E2F">
        <w:trPr>
          <w:trHeight w:val="282"/>
          <w:jc w:val="center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1 205 166,27</w:t>
            </w:r>
          </w:p>
        </w:tc>
      </w:tr>
    </w:tbl>
    <w:p w:rsidR="003E6B4F" w:rsidRPr="003E6B4F" w:rsidRDefault="003E6B4F" w:rsidP="003E6B4F">
      <w:pPr>
        <w:spacing w:before="120" w:after="0" w:line="252" w:lineRule="auto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lastRenderedPageBreak/>
        <w:t>Таким образом, общая выручка от реализации проекта без учёта НДС составит порядка 1 029 956,77 руб., с учётом компенсации за сбор ВМР общий приток денежных средств по проекту составит 1 205 166,27 рублей.</w:t>
      </w: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Следует отметить, что выручка от реализации проекта по первому и по второму варианту проекта будет одинаковой, переменной же частью являются затраты на реализацию проекта.</w:t>
      </w:r>
    </w:p>
    <w:p w:rsidR="003E6B4F" w:rsidRPr="003E6B4F" w:rsidRDefault="003E6B4F" w:rsidP="003E6B4F">
      <w:pPr>
        <w:spacing w:after="0"/>
        <w:ind w:firstLine="709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br w:type="page"/>
      </w:r>
    </w:p>
    <w:p w:rsidR="003E6B4F" w:rsidRPr="003E6B4F" w:rsidRDefault="003E6B4F" w:rsidP="003E6B4F">
      <w:pPr>
        <w:keepNext/>
        <w:keepLines/>
        <w:spacing w:after="0" w:line="254" w:lineRule="auto"/>
        <w:outlineLvl w:val="0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28" w:name="_Toc59562332"/>
      <w:bookmarkStart w:id="29" w:name="_Toc22099753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Инвестиции по </w:t>
      </w:r>
      <w:proofErr w:type="spellStart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>Вилейскому</w:t>
      </w:r>
      <w:proofErr w:type="spellEnd"/>
      <w:r w:rsidRPr="003E6B4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району</w:t>
      </w:r>
      <w:bookmarkEnd w:id="28"/>
      <w:bookmarkEnd w:id="29"/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Таблица 30 – Размеры инвестиций для реализации перспективной схемы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</w:t>
      </w: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42"/>
        <w:gridCol w:w="1895"/>
        <w:gridCol w:w="1967"/>
        <w:gridCol w:w="1895"/>
        <w:gridCol w:w="1932"/>
      </w:tblGrid>
      <w:tr w:rsidR="003E6B4F" w:rsidRPr="003E6B4F" w:rsidTr="005C6E2F">
        <w:trPr>
          <w:trHeight w:val="413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Позиция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1, руб. без НДС 20 %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2, руб. без НДС 20 %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3, руб. без НДС 20 %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Вариант 4, руб. без НДС 20 %</w:t>
            </w:r>
          </w:p>
        </w:tc>
      </w:tr>
      <w:tr w:rsidR="003E6B4F" w:rsidRPr="003E6B4F" w:rsidTr="005C6E2F">
        <w:trPr>
          <w:trHeight w:val="2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3E6B4F" w:rsidRPr="003E6B4F" w:rsidTr="005C6E2F">
        <w:trPr>
          <w:trHeight w:val="2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Контейнеры: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601 691,67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601 691,67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568 575,00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568 575,00</w:t>
            </w:r>
          </w:p>
        </w:tc>
      </w:tr>
      <w:tr w:rsidR="003E6B4F" w:rsidRPr="003E6B4F" w:rsidTr="005C6E2F">
        <w:trPr>
          <w:trHeight w:val="275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ТКО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194 691,67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194 691,67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181 925,00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181 925,00</w:t>
            </w:r>
          </w:p>
        </w:tc>
      </w:tr>
      <w:tr w:rsidR="003E6B4F" w:rsidRPr="003E6B4F" w:rsidTr="005C6E2F">
        <w:trPr>
          <w:trHeight w:val="2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ВМР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407 000,00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407 000,00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386 650,00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386 650,00</w:t>
            </w:r>
          </w:p>
        </w:tc>
      </w:tr>
      <w:tr w:rsidR="003E6B4F" w:rsidRPr="003E6B4F" w:rsidTr="005C6E2F">
        <w:trPr>
          <w:trHeight w:val="275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ТКО и ВМР 0,12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1 441 500,00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1 441 500,00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1 441 500,00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1 441 500,00</w:t>
            </w:r>
          </w:p>
        </w:tc>
      </w:tr>
      <w:tr w:rsidR="003E6B4F" w:rsidRPr="003E6B4F" w:rsidTr="005C6E2F">
        <w:trPr>
          <w:trHeight w:val="138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Спецавтотранспорт</w:t>
            </w:r>
            <w:proofErr w:type="spellEnd"/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52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1 373 944,00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52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1 373 944,00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52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1 373 944,00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 w:line="252" w:lineRule="auto"/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1 373 944,00</w:t>
            </w:r>
          </w:p>
        </w:tc>
      </w:tr>
      <w:tr w:rsidR="003E6B4F" w:rsidRPr="003E6B4F" w:rsidTr="005C6E2F">
        <w:trPr>
          <w:trHeight w:val="58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1 373 944,00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1 373 944,00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1 373 944,00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1 373 944,00</w:t>
            </w:r>
          </w:p>
        </w:tc>
      </w:tr>
      <w:tr w:rsidR="003E6B4F" w:rsidRPr="003E6B4F" w:rsidTr="005C6E2F">
        <w:trPr>
          <w:trHeight w:val="581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Перегрузочная станция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77 250,00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77 250,00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E6B4F" w:rsidRPr="003E6B4F" w:rsidTr="005C6E2F">
        <w:trPr>
          <w:trHeight w:val="2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3 494 385,67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3 417 135,67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3 461 296,00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3 384 019,00</w:t>
            </w:r>
          </w:p>
        </w:tc>
      </w:tr>
      <w:tr w:rsidR="003E6B4F" w:rsidRPr="003E6B4F" w:rsidTr="005C6E2F">
        <w:trPr>
          <w:trHeight w:val="2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Эксплуатационные затраты: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544 097,032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593 520,11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544 097,032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593 520,11</w:t>
            </w:r>
          </w:p>
        </w:tc>
      </w:tr>
      <w:tr w:rsidR="003E6B4F" w:rsidRPr="003E6B4F" w:rsidTr="005C6E2F">
        <w:trPr>
          <w:trHeight w:val="290"/>
        </w:trPr>
        <w:tc>
          <w:tcPr>
            <w:tcW w:w="2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Амортизационные затраты: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430 284,53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429 961,53</w:t>
            </w:r>
          </w:p>
        </w:tc>
        <w:tc>
          <w:tcPr>
            <w:tcW w:w="1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425 235,83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425 235,83</w:t>
            </w:r>
          </w:p>
        </w:tc>
      </w:tr>
    </w:tbl>
    <w:p w:rsidR="003E6B4F" w:rsidRPr="003E6B4F" w:rsidRDefault="003E6B4F" w:rsidP="003E6B4F">
      <w:pPr>
        <w:spacing w:before="120" w:after="12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Наименьшая из возможных вариантов сумма инвестиций для реализации перспективной схемы </w:t>
      </w:r>
      <w:proofErr w:type="spellStart"/>
      <w:r w:rsidRPr="003E6B4F">
        <w:rPr>
          <w:rFonts w:ascii="Times New Roman" w:eastAsia="Times New Roman" w:hAnsi="Times New Roman" w:cs="Times New Roman"/>
          <w:sz w:val="30"/>
          <w:szCs w:val="30"/>
        </w:rPr>
        <w:t>Вилейского</w:t>
      </w:r>
      <w:proofErr w:type="spellEnd"/>
      <w:r w:rsidRPr="003E6B4F">
        <w:rPr>
          <w:rFonts w:ascii="Times New Roman" w:eastAsia="Times New Roman" w:hAnsi="Times New Roman" w:cs="Times New Roman"/>
          <w:sz w:val="30"/>
          <w:szCs w:val="30"/>
        </w:rPr>
        <w:t xml:space="preserve"> района ориентировочно равна 3 384 019,00 руб. (три миллиона триста восемьдесят четыре тысячи девятнадцать рублей ноль копеек).</w:t>
      </w: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31 – Инвестиционные затраты в 1й год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"/>
        <w:gridCol w:w="2768"/>
        <w:gridCol w:w="1972"/>
        <w:gridCol w:w="1929"/>
        <w:gridCol w:w="1967"/>
      </w:tblGrid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Цена,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 без НДС 20 %,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ТКО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90 250,00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ВМР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118 750,00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ТКО/ВМР 0,12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15 527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776 350,00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149 884,80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374 712,00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1 360 062,00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32 – Инвестиционные затраты в 2й год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5"/>
        <w:gridCol w:w="2768"/>
        <w:gridCol w:w="1972"/>
        <w:gridCol w:w="1929"/>
        <w:gridCol w:w="1967"/>
      </w:tblGrid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Цена,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ТКО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91 675,00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ВМР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118 750,00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ТКО/ВМР 0,12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13 303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665 150,00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149 884,80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374 712,00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1 250 287,00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33 – Инвестиционные затраты в 3й год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"/>
        <w:gridCol w:w="2768"/>
        <w:gridCol w:w="1972"/>
        <w:gridCol w:w="1930"/>
        <w:gridCol w:w="1967"/>
      </w:tblGrid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Цена,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Контейнеры ВМР 1,1 м</w:t>
            </w: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570,00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149 150,00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149 884,80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374 712,00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523 862,00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  <w:r w:rsidRPr="003E6B4F">
        <w:rPr>
          <w:rFonts w:ascii="Times New Roman" w:eastAsia="Times New Roman" w:hAnsi="Times New Roman" w:cs="Times New Roman"/>
          <w:sz w:val="30"/>
          <w:szCs w:val="30"/>
        </w:rPr>
        <w:t>Таблица 34 – Инвестиционные затраты в 4й год реализации проекта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34"/>
        <w:gridCol w:w="2768"/>
        <w:gridCol w:w="1972"/>
        <w:gridCol w:w="1930"/>
        <w:gridCol w:w="1967"/>
      </w:tblGrid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Оборудование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Цена,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Стоимость, </w:t>
            </w:r>
            <w:proofErr w:type="spellStart"/>
            <w:r w:rsidRPr="003E6B4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</w:t>
            </w:r>
            <w:proofErr w:type="spellEnd"/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МАЗ-5904С2-012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149 884,80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249 808,00</w:t>
            </w:r>
          </w:p>
        </w:tc>
      </w:tr>
      <w:tr w:rsidR="003E6B4F" w:rsidRPr="003E6B4F" w:rsidTr="005C6E2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6B4F" w:rsidRPr="003E6B4F" w:rsidRDefault="003E6B4F" w:rsidP="003E6B4F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E6B4F">
              <w:rPr>
                <w:rFonts w:ascii="Times New Roman" w:eastAsia="Times New Roman" w:hAnsi="Times New Roman" w:cs="Times New Roman"/>
                <w:sz w:val="24"/>
                <w:szCs w:val="24"/>
              </w:rPr>
              <w:t>249 808,00</w:t>
            </w:r>
          </w:p>
        </w:tc>
      </w:tr>
    </w:tbl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0"/>
        <w:rPr>
          <w:rFonts w:ascii="Times New Roman" w:eastAsia="Times New Roman" w:hAnsi="Times New Roman" w:cs="Times New Roman"/>
          <w:sz w:val="30"/>
          <w:szCs w:val="30"/>
        </w:rPr>
      </w:pPr>
    </w:p>
    <w:p w:rsidR="003E6B4F" w:rsidRPr="003E6B4F" w:rsidRDefault="003E6B4F" w:rsidP="003E6B4F">
      <w:pPr>
        <w:spacing w:after="160" w:line="252" w:lineRule="auto"/>
        <w:rPr>
          <w:rFonts w:ascii="Calibri" w:eastAsia="Times New Roman" w:hAnsi="Calibri" w:cs="Times New Roman"/>
        </w:rPr>
      </w:pPr>
    </w:p>
    <w:p w:rsidR="003E6B4F" w:rsidRPr="003E6B4F" w:rsidRDefault="003E6B4F" w:rsidP="003E6B4F">
      <w:pPr>
        <w:spacing w:after="160" w:line="252" w:lineRule="auto"/>
        <w:rPr>
          <w:rFonts w:ascii="Calibri" w:eastAsia="Times New Roman" w:hAnsi="Calibri" w:cs="Times New Roman"/>
        </w:rPr>
      </w:pPr>
    </w:p>
    <w:p w:rsidR="00BA6312" w:rsidRDefault="00BA6312"/>
    <w:sectPr w:rsidR="00BA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FE0C37"/>
    <w:multiLevelType w:val="hybridMultilevel"/>
    <w:tmpl w:val="0A06D57C"/>
    <w:lvl w:ilvl="0" w:tplc="F120EA7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26E48"/>
    <w:multiLevelType w:val="hybridMultilevel"/>
    <w:tmpl w:val="F8DEF788"/>
    <w:lvl w:ilvl="0" w:tplc="F120EA7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36387B"/>
    <w:multiLevelType w:val="hybridMultilevel"/>
    <w:tmpl w:val="037884E2"/>
    <w:lvl w:ilvl="0" w:tplc="F120EA7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204A8D"/>
    <w:multiLevelType w:val="hybridMultilevel"/>
    <w:tmpl w:val="78F485E4"/>
    <w:lvl w:ilvl="0" w:tplc="F120EA70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C474F1"/>
    <w:multiLevelType w:val="hybridMultilevel"/>
    <w:tmpl w:val="7DACB06A"/>
    <w:lvl w:ilvl="0" w:tplc="5D3C2750">
      <w:start w:val="1"/>
      <w:numFmt w:val="bullet"/>
      <w:lvlText w:val="−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1"/>
  </w:num>
  <w:num w:numId="5">
    <w:abstractNumId w:val="2"/>
  </w:num>
  <w:num w:numId="6">
    <w:abstractNumId w:val="2"/>
  </w:num>
  <w:num w:numId="7">
    <w:abstractNumId w:val="3"/>
  </w:num>
  <w:num w:numId="8">
    <w:abstractNumId w:val="3"/>
  </w:num>
  <w:num w:numId="9">
    <w:abstractNumId w:val="4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FAA"/>
    <w:rsid w:val="000433D8"/>
    <w:rsid w:val="00320F28"/>
    <w:rsid w:val="003E6B4F"/>
    <w:rsid w:val="005C6E2F"/>
    <w:rsid w:val="007B2AA3"/>
    <w:rsid w:val="00BA6312"/>
    <w:rsid w:val="00C41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C93227BB-92A0-4466-BEEB-4E97AB3A7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E6B4F"/>
    <w:pPr>
      <w:keepNext/>
      <w:keepLines/>
      <w:spacing w:before="480" w:after="0" w:line="252" w:lineRule="auto"/>
      <w:outlineLvl w:val="0"/>
    </w:pPr>
    <w:rPr>
      <w:rFonts w:ascii="Cambria" w:eastAsia="Calibri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3E6B4F"/>
    <w:pPr>
      <w:keepNext/>
      <w:keepLines/>
      <w:spacing w:before="200" w:after="0" w:line="252" w:lineRule="auto"/>
      <w:outlineLvl w:val="1"/>
    </w:pPr>
    <w:rPr>
      <w:rFonts w:ascii="Cambria" w:eastAsia="Calibri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qFormat/>
    <w:rsid w:val="003E6B4F"/>
    <w:pPr>
      <w:keepNext/>
      <w:keepLines/>
      <w:spacing w:before="200" w:after="0" w:line="252" w:lineRule="auto"/>
      <w:outlineLvl w:val="2"/>
    </w:pPr>
    <w:rPr>
      <w:rFonts w:ascii="Cambria" w:eastAsia="Calibri" w:hAnsi="Cambria" w:cs="Times New Roman"/>
      <w:b/>
      <w:bCs/>
      <w:color w:val="4F81BD"/>
    </w:rPr>
  </w:style>
  <w:style w:type="paragraph" w:styleId="4">
    <w:name w:val="heading 4"/>
    <w:basedOn w:val="a"/>
    <w:next w:val="a"/>
    <w:link w:val="40"/>
    <w:qFormat/>
    <w:rsid w:val="003E6B4F"/>
    <w:pPr>
      <w:keepNext/>
      <w:keepLines/>
      <w:spacing w:before="200" w:after="0" w:line="252" w:lineRule="auto"/>
      <w:outlineLvl w:val="3"/>
    </w:pPr>
    <w:rPr>
      <w:rFonts w:ascii="Cambria" w:eastAsia="Calibri" w:hAnsi="Cambria" w:cs="Times New Roman"/>
      <w:b/>
      <w:bCs/>
      <w:i/>
      <w:i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6B4F"/>
    <w:rPr>
      <w:rFonts w:ascii="Cambria" w:eastAsia="Calibri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rsid w:val="003E6B4F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rsid w:val="003E6B4F"/>
    <w:rPr>
      <w:rFonts w:ascii="Cambria" w:eastAsia="Calibri" w:hAnsi="Cambria" w:cs="Times New Roman"/>
      <w:b/>
      <w:bCs/>
      <w:color w:val="4F81BD"/>
    </w:rPr>
  </w:style>
  <w:style w:type="character" w:customStyle="1" w:styleId="40">
    <w:name w:val="Заголовок 4 Знак"/>
    <w:basedOn w:val="a0"/>
    <w:link w:val="4"/>
    <w:rsid w:val="003E6B4F"/>
    <w:rPr>
      <w:rFonts w:ascii="Cambria" w:eastAsia="Calibri" w:hAnsi="Cambria" w:cs="Times New Roman"/>
      <w:b/>
      <w:bCs/>
      <w:i/>
      <w:iCs/>
      <w:color w:val="4F81BD"/>
    </w:rPr>
  </w:style>
  <w:style w:type="numbering" w:customStyle="1" w:styleId="11">
    <w:name w:val="Нет списка1"/>
    <w:next w:val="a2"/>
    <w:semiHidden/>
    <w:rsid w:val="003E6B4F"/>
  </w:style>
  <w:style w:type="character" w:styleId="a3">
    <w:name w:val="Hyperlink"/>
    <w:basedOn w:val="a0"/>
    <w:rsid w:val="003E6B4F"/>
    <w:rPr>
      <w:rFonts w:ascii="Times New Roman" w:hAnsi="Times New Roman" w:cs="Times New Roman" w:hint="default"/>
      <w:color w:val="0000FF"/>
      <w:u w:val="single"/>
    </w:rPr>
  </w:style>
  <w:style w:type="paragraph" w:styleId="12">
    <w:name w:val="toc 1"/>
    <w:basedOn w:val="a"/>
    <w:next w:val="a"/>
    <w:autoRedefine/>
    <w:rsid w:val="003E6B4F"/>
    <w:pPr>
      <w:spacing w:after="100" w:line="252" w:lineRule="auto"/>
    </w:pPr>
    <w:rPr>
      <w:rFonts w:ascii="Calibri" w:eastAsia="Times New Roman" w:hAnsi="Calibri" w:cs="Times New Roman"/>
    </w:rPr>
  </w:style>
  <w:style w:type="paragraph" w:styleId="21">
    <w:name w:val="toc 2"/>
    <w:basedOn w:val="a"/>
    <w:next w:val="a"/>
    <w:autoRedefine/>
    <w:rsid w:val="003E6B4F"/>
    <w:pPr>
      <w:spacing w:after="100" w:line="252" w:lineRule="auto"/>
      <w:ind w:left="220"/>
    </w:pPr>
    <w:rPr>
      <w:rFonts w:ascii="Calibri" w:eastAsia="Times New Roman" w:hAnsi="Calibri" w:cs="Times New Roman"/>
    </w:rPr>
  </w:style>
  <w:style w:type="paragraph" w:styleId="31">
    <w:name w:val="toc 3"/>
    <w:basedOn w:val="a"/>
    <w:next w:val="a"/>
    <w:autoRedefine/>
    <w:rsid w:val="003E6B4F"/>
    <w:pPr>
      <w:spacing w:after="100" w:line="252" w:lineRule="auto"/>
      <w:ind w:left="440"/>
    </w:pPr>
    <w:rPr>
      <w:rFonts w:ascii="Calibri" w:eastAsia="Times New Roman" w:hAnsi="Calibri" w:cs="Times New Roman"/>
    </w:rPr>
  </w:style>
  <w:style w:type="character" w:customStyle="1" w:styleId="a4">
    <w:name w:val="Верхний колонтитул Знак"/>
    <w:basedOn w:val="a0"/>
    <w:link w:val="a5"/>
    <w:locked/>
    <w:rsid w:val="003E6B4F"/>
    <w:rPr>
      <w:rFonts w:ascii="Calibri" w:hAnsi="Calibri"/>
    </w:rPr>
  </w:style>
  <w:style w:type="paragraph" w:styleId="a5">
    <w:name w:val="header"/>
    <w:basedOn w:val="a"/>
    <w:link w:val="a4"/>
    <w:rsid w:val="003E6B4F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3">
    <w:name w:val="Верхний колонтитул Знак1"/>
    <w:basedOn w:val="a0"/>
    <w:uiPriority w:val="99"/>
    <w:semiHidden/>
    <w:rsid w:val="003E6B4F"/>
  </w:style>
  <w:style w:type="character" w:customStyle="1" w:styleId="a6">
    <w:name w:val="Нижний колонтитул Знак"/>
    <w:basedOn w:val="a0"/>
    <w:link w:val="a7"/>
    <w:locked/>
    <w:rsid w:val="003E6B4F"/>
    <w:rPr>
      <w:rFonts w:ascii="Calibri" w:hAnsi="Calibri"/>
    </w:rPr>
  </w:style>
  <w:style w:type="paragraph" w:styleId="a7">
    <w:name w:val="footer"/>
    <w:basedOn w:val="a"/>
    <w:link w:val="a6"/>
    <w:rsid w:val="003E6B4F"/>
    <w:pPr>
      <w:tabs>
        <w:tab w:val="center" w:pos="4536"/>
        <w:tab w:val="right" w:pos="9072"/>
      </w:tabs>
      <w:spacing w:after="0" w:line="240" w:lineRule="auto"/>
    </w:pPr>
    <w:rPr>
      <w:rFonts w:ascii="Calibri" w:hAnsi="Calibri"/>
    </w:rPr>
  </w:style>
  <w:style w:type="character" w:customStyle="1" w:styleId="14">
    <w:name w:val="Нижний колонтитул Знак1"/>
    <w:basedOn w:val="a0"/>
    <w:uiPriority w:val="99"/>
    <w:semiHidden/>
    <w:rsid w:val="003E6B4F"/>
  </w:style>
  <w:style w:type="character" w:customStyle="1" w:styleId="a8">
    <w:name w:val="Основной текст Знак"/>
    <w:basedOn w:val="a0"/>
    <w:link w:val="a9"/>
    <w:semiHidden/>
    <w:locked/>
    <w:rsid w:val="003E6B4F"/>
    <w:rPr>
      <w:rFonts w:ascii="Arial" w:hAnsi="Arial" w:cs="Arial"/>
      <w:b/>
      <w:bCs/>
      <w:sz w:val="15"/>
      <w:szCs w:val="15"/>
      <w:lang w:val="be-BY"/>
    </w:rPr>
  </w:style>
  <w:style w:type="paragraph" w:styleId="a9">
    <w:name w:val="Body Text"/>
    <w:basedOn w:val="a"/>
    <w:link w:val="a8"/>
    <w:semiHidden/>
    <w:rsid w:val="003E6B4F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15"/>
      <w:szCs w:val="15"/>
      <w:lang w:val="be-BY"/>
    </w:rPr>
  </w:style>
  <w:style w:type="character" w:customStyle="1" w:styleId="15">
    <w:name w:val="Основной текст Знак1"/>
    <w:basedOn w:val="a0"/>
    <w:uiPriority w:val="99"/>
    <w:semiHidden/>
    <w:rsid w:val="003E6B4F"/>
  </w:style>
  <w:style w:type="character" w:customStyle="1" w:styleId="aa">
    <w:name w:val="Текст выноски Знак"/>
    <w:basedOn w:val="a0"/>
    <w:link w:val="ab"/>
    <w:semiHidden/>
    <w:locked/>
    <w:rsid w:val="003E6B4F"/>
    <w:rPr>
      <w:rFonts w:ascii="Tahoma" w:hAnsi="Tahoma" w:cs="Tahoma"/>
      <w:sz w:val="16"/>
      <w:szCs w:val="16"/>
    </w:rPr>
  </w:style>
  <w:style w:type="paragraph" w:styleId="ab">
    <w:name w:val="Balloon Text"/>
    <w:basedOn w:val="a"/>
    <w:link w:val="aa"/>
    <w:semiHidden/>
    <w:rsid w:val="003E6B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uiPriority w:val="99"/>
    <w:semiHidden/>
    <w:rsid w:val="003E6B4F"/>
    <w:rPr>
      <w:rFonts w:ascii="Tahoma" w:hAnsi="Tahoma" w:cs="Tahoma"/>
      <w:sz w:val="16"/>
      <w:szCs w:val="16"/>
    </w:rPr>
  </w:style>
  <w:style w:type="character" w:customStyle="1" w:styleId="32">
    <w:name w:val="Заголово 3 Знак"/>
    <w:basedOn w:val="30"/>
    <w:link w:val="33"/>
    <w:locked/>
    <w:rsid w:val="003E6B4F"/>
    <w:rPr>
      <w:rFonts w:ascii="Cambria" w:eastAsia="Calibri" w:hAnsi="Cambria" w:cs="Times New Roman"/>
      <w:b/>
      <w:bCs/>
      <w:color w:val="000000"/>
      <w:sz w:val="28"/>
      <w:szCs w:val="28"/>
    </w:rPr>
  </w:style>
  <w:style w:type="paragraph" w:customStyle="1" w:styleId="33">
    <w:name w:val="Заголово 3"/>
    <w:basedOn w:val="3"/>
    <w:next w:val="a"/>
    <w:link w:val="32"/>
    <w:rsid w:val="003E6B4F"/>
    <w:pPr>
      <w:ind w:firstLine="709"/>
      <w:jc w:val="both"/>
    </w:pPr>
    <w:rPr>
      <w:color w:val="000000"/>
      <w:sz w:val="28"/>
      <w:szCs w:val="28"/>
    </w:rPr>
  </w:style>
  <w:style w:type="character" w:customStyle="1" w:styleId="41">
    <w:name w:val="заголовок 4 Знак"/>
    <w:basedOn w:val="40"/>
    <w:link w:val="42"/>
    <w:locked/>
    <w:rsid w:val="003E6B4F"/>
    <w:rPr>
      <w:rFonts w:ascii="Cambria" w:eastAsia="Calibri" w:hAnsi="Cambria" w:cs="Times New Roman"/>
      <w:b/>
      <w:bCs/>
      <w:i/>
      <w:iCs/>
      <w:color w:val="4F81BD"/>
      <w:sz w:val="28"/>
      <w:szCs w:val="28"/>
    </w:rPr>
  </w:style>
  <w:style w:type="paragraph" w:customStyle="1" w:styleId="42">
    <w:name w:val="заголовок 4"/>
    <w:basedOn w:val="a"/>
    <w:next w:val="a"/>
    <w:link w:val="41"/>
    <w:rsid w:val="003E6B4F"/>
    <w:pPr>
      <w:keepNext/>
      <w:keepLines/>
      <w:tabs>
        <w:tab w:val="left" w:pos="2070"/>
      </w:tabs>
      <w:spacing w:before="200" w:after="0" w:line="252" w:lineRule="auto"/>
      <w:jc w:val="both"/>
      <w:outlineLvl w:val="3"/>
    </w:pPr>
    <w:rPr>
      <w:rFonts w:ascii="Cambria" w:eastAsia="Calibri" w:hAnsi="Cambria" w:cs="Times New Roman"/>
      <w:b/>
      <w:bCs/>
      <w:i/>
      <w:iCs/>
      <w:color w:val="4F81BD"/>
      <w:sz w:val="28"/>
      <w:szCs w:val="28"/>
    </w:rPr>
  </w:style>
  <w:style w:type="character" w:customStyle="1" w:styleId="43">
    <w:name w:val="Заголово 4 Знак"/>
    <w:basedOn w:val="40"/>
    <w:link w:val="44"/>
    <w:locked/>
    <w:rsid w:val="003E6B4F"/>
    <w:rPr>
      <w:rFonts w:ascii="Cambria" w:eastAsia="Calibri" w:hAnsi="Cambria" w:cs="Times New Roman"/>
      <w:b/>
      <w:bCs/>
      <w:i/>
      <w:iCs/>
      <w:color w:val="000000"/>
      <w:sz w:val="28"/>
    </w:rPr>
  </w:style>
  <w:style w:type="paragraph" w:customStyle="1" w:styleId="44">
    <w:name w:val="Заголово 4"/>
    <w:basedOn w:val="4"/>
    <w:next w:val="a"/>
    <w:link w:val="43"/>
    <w:rsid w:val="003E6B4F"/>
    <w:pPr>
      <w:tabs>
        <w:tab w:val="left" w:pos="2070"/>
      </w:tabs>
      <w:jc w:val="both"/>
    </w:pPr>
    <w:rPr>
      <w:color w:val="000000"/>
      <w:sz w:val="28"/>
    </w:rPr>
  </w:style>
  <w:style w:type="paragraph" w:customStyle="1" w:styleId="17">
    <w:name w:val="Абзац списка1"/>
    <w:basedOn w:val="a"/>
    <w:rsid w:val="003E6B4F"/>
    <w:pPr>
      <w:ind w:left="720"/>
      <w:contextualSpacing/>
    </w:pPr>
    <w:rPr>
      <w:rFonts w:ascii="Calibri" w:eastAsia="Times New Roman" w:hAnsi="Calibri" w:cs="Times New Roman"/>
      <w:lang w:val="be-BY"/>
    </w:rPr>
  </w:style>
  <w:style w:type="paragraph" w:customStyle="1" w:styleId="ConsPlusNormal">
    <w:name w:val="ConsPlusNormal"/>
    <w:rsid w:val="003E6B4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18">
    <w:name w:val="Заголовок оглавления1"/>
    <w:basedOn w:val="1"/>
    <w:next w:val="a"/>
    <w:rsid w:val="003E6B4F"/>
    <w:pPr>
      <w:spacing w:line="276" w:lineRule="auto"/>
      <w:outlineLvl w:val="9"/>
    </w:pPr>
    <w:rPr>
      <w:lang w:val="be-BY" w:eastAsia="be-BY"/>
    </w:rPr>
  </w:style>
  <w:style w:type="paragraph" w:customStyle="1" w:styleId="msonormalcxspmiddle">
    <w:name w:val="msonormalcxspmiddle"/>
    <w:basedOn w:val="a"/>
    <w:rsid w:val="003E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rsid w:val="003E6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3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8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6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3" Type="http://schemas.openxmlformats.org/officeDocument/2006/relationships/settings" Target="settings.xml"/><Relationship Id="rId21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34" Type="http://schemas.openxmlformats.org/officeDocument/2006/relationships/image" Target="media/image8.png"/><Relationship Id="rId7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2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7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5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33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0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9" Type="http://schemas.openxmlformats.org/officeDocument/2006/relationships/image" Target="media/image3.jpeg"/><Relationship Id="rId1" Type="http://schemas.openxmlformats.org/officeDocument/2006/relationships/numbering" Target="numbering.xml"/><Relationship Id="rId6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1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4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32" Type="http://schemas.openxmlformats.org/officeDocument/2006/relationships/image" Target="media/image6.png"/><Relationship Id="rId5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5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3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8" Type="http://schemas.openxmlformats.org/officeDocument/2006/relationships/image" Target="media/image2.jpeg"/><Relationship Id="rId36" Type="http://schemas.openxmlformats.org/officeDocument/2006/relationships/theme" Target="theme/theme1.xml"/><Relationship Id="rId10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9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31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14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2" Type="http://schemas.openxmlformats.org/officeDocument/2006/relationships/hyperlink" Target="file:///C:\Users\6145~1\AppData\Local\Temp\Rar$DIa364.41890\&#1055;&#1088;&#1080;&#1083;&#1086;&#1078;&#1077;&#1085;&#1080;&#1077;%2018.docx" TargetMode="External"/><Relationship Id="rId27" Type="http://schemas.openxmlformats.org/officeDocument/2006/relationships/image" Target="media/image1.jpeg"/><Relationship Id="rId30" Type="http://schemas.openxmlformats.org/officeDocument/2006/relationships/image" Target="media/image4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10375</Words>
  <Characters>59142</Characters>
  <Application>Microsoft Office Word</Application>
  <DocSecurity>0</DocSecurity>
  <Lines>492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69379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Pavillion</dc:creator>
  <cp:keywords/>
  <dc:description/>
  <cp:lastModifiedBy>Admin</cp:lastModifiedBy>
  <cp:revision>6</cp:revision>
  <cp:lastPrinted>2026-08-12T05:30:00Z</cp:lastPrinted>
  <dcterms:created xsi:type="dcterms:W3CDTF">2024-06-23T12:28:00Z</dcterms:created>
  <dcterms:modified xsi:type="dcterms:W3CDTF">2026-08-12T05:30:00Z</dcterms:modified>
</cp:coreProperties>
</file>